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46C46" w14:textId="4E757AF0" w:rsidR="003E6977" w:rsidRDefault="00276589" w:rsidP="006F2D09">
      <w:pPr>
        <w:pStyle w:val="Heading2"/>
        <w:jc w:val="right"/>
      </w:pPr>
      <w:bookmarkStart w:id="0" w:name="_GoBack"/>
      <w:bookmarkEnd w:id="0"/>
      <w:r>
        <w:rPr>
          <w:rFonts w:asciiTheme="minorHAnsi" w:hAnsiTheme="minorHAnsi" w:cstheme="minorHAnsi"/>
          <w:noProof/>
          <w:lang w:eastAsia="en-AU"/>
        </w:rPr>
        <w:drawing>
          <wp:inline distT="0" distB="0" distL="0" distR="0" wp14:anchorId="4B3E2ADC" wp14:editId="235A32C6">
            <wp:extent cx="2714344" cy="904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ZLIC Logo - White background w sa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20644" cy="906975"/>
                    </a:xfrm>
                    <a:prstGeom prst="rect">
                      <a:avLst/>
                    </a:prstGeom>
                  </pic:spPr>
                </pic:pic>
              </a:graphicData>
            </a:graphic>
          </wp:inline>
        </w:drawing>
      </w:r>
    </w:p>
    <w:p w14:paraId="4DE46C49" w14:textId="77777777" w:rsidR="008334C0" w:rsidRPr="00587C70" w:rsidRDefault="008334C0" w:rsidP="008334C0">
      <w:pPr>
        <w:pStyle w:val="Heading2"/>
        <w:rPr>
          <w:color w:val="005677" w:themeColor="accent1"/>
        </w:rPr>
      </w:pPr>
    </w:p>
    <w:p w14:paraId="4DE46C4A" w14:textId="2B1280B3" w:rsidR="008334C0" w:rsidRPr="00884A47" w:rsidRDefault="005B197E" w:rsidP="008334C0">
      <w:pPr>
        <w:pStyle w:val="Heading2"/>
        <w:rPr>
          <w:color w:val="006699"/>
          <w:sz w:val="60"/>
          <w:szCs w:val="60"/>
        </w:rPr>
      </w:pPr>
      <w:r w:rsidRPr="00884A47">
        <w:rPr>
          <w:color w:val="006699"/>
          <w:sz w:val="60"/>
          <w:szCs w:val="60"/>
        </w:rPr>
        <w:t>ANZLIC Strategic Plan 2020-</w:t>
      </w:r>
      <w:r w:rsidR="008334C0" w:rsidRPr="00884A47">
        <w:rPr>
          <w:color w:val="006699"/>
          <w:sz w:val="60"/>
          <w:szCs w:val="60"/>
        </w:rPr>
        <w:t>24</w:t>
      </w:r>
    </w:p>
    <w:p w14:paraId="7E6B6C80" w14:textId="32426907" w:rsidR="00D84B62" w:rsidRPr="00884A47" w:rsidRDefault="00542478" w:rsidP="00F32674">
      <w:pPr>
        <w:pStyle w:val="Heading4"/>
        <w:rPr>
          <w:color w:val="auto"/>
          <w:sz w:val="40"/>
        </w:rPr>
      </w:pPr>
      <w:r>
        <w:rPr>
          <w:noProof/>
          <w:lang w:eastAsia="en-AU"/>
        </w:rPr>
        <w:drawing>
          <wp:anchor distT="0" distB="0" distL="114300" distR="114300" simplePos="0" relativeHeight="251658240" behindDoc="0" locked="0" layoutInCell="1" allowOverlap="1" wp14:anchorId="3CF6B60C" wp14:editId="51FB9709">
            <wp:simplePos x="0" y="0"/>
            <wp:positionH relativeFrom="margin">
              <wp:posOffset>-349250</wp:posOffset>
            </wp:positionH>
            <wp:positionV relativeFrom="paragraph">
              <wp:posOffset>866775</wp:posOffset>
            </wp:positionV>
            <wp:extent cx="6867525" cy="4584065"/>
            <wp:effectExtent l="0" t="0" r="9525"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stralia map.JPG"/>
                    <pic:cNvPicPr/>
                  </pic:nvPicPr>
                  <pic:blipFill>
                    <a:blip r:embed="rId13">
                      <a:extLst>
                        <a:ext uri="{28A0092B-C50C-407E-A947-70E740481C1C}">
                          <a14:useLocalDpi xmlns:a14="http://schemas.microsoft.com/office/drawing/2010/main" val="0"/>
                        </a:ext>
                      </a:extLst>
                    </a:blip>
                    <a:stretch>
                      <a:fillRect/>
                    </a:stretch>
                  </pic:blipFill>
                  <pic:spPr>
                    <a:xfrm>
                      <a:off x="0" y="0"/>
                      <a:ext cx="6867525" cy="4584065"/>
                    </a:xfrm>
                    <a:prstGeom prst="rect">
                      <a:avLst/>
                    </a:prstGeom>
                  </pic:spPr>
                </pic:pic>
              </a:graphicData>
            </a:graphic>
            <wp14:sizeRelH relativeFrom="page">
              <wp14:pctWidth>0</wp14:pctWidth>
            </wp14:sizeRelH>
            <wp14:sizeRelV relativeFrom="page">
              <wp14:pctHeight>0</wp14:pctHeight>
            </wp14:sizeRelV>
          </wp:anchor>
        </w:drawing>
      </w:r>
      <w:r w:rsidR="00D84B62" w:rsidRPr="00884A47">
        <w:rPr>
          <w:color w:val="auto"/>
          <w:sz w:val="40"/>
        </w:rPr>
        <w:t>Drivi</w:t>
      </w:r>
      <w:r w:rsidR="005964BF" w:rsidRPr="00884A47">
        <w:rPr>
          <w:color w:val="auto"/>
          <w:sz w:val="40"/>
        </w:rPr>
        <w:t>ng spatial excellence and place-</w:t>
      </w:r>
      <w:r w:rsidR="00D84B62" w:rsidRPr="00884A47">
        <w:rPr>
          <w:color w:val="auto"/>
          <w:sz w:val="40"/>
        </w:rPr>
        <w:t>based intelligence a</w:t>
      </w:r>
      <w:r w:rsidR="00587C70" w:rsidRPr="00884A47">
        <w:rPr>
          <w:color w:val="auto"/>
          <w:sz w:val="40"/>
        </w:rPr>
        <w:t>cross Australia and New Zealand</w:t>
      </w:r>
    </w:p>
    <w:p w14:paraId="18B6A448" w14:textId="2BA97734" w:rsidR="00542478" w:rsidRPr="00542478" w:rsidRDefault="00542478" w:rsidP="00542478">
      <w:pPr>
        <w:pStyle w:val="Heading4"/>
        <w:rPr>
          <w:color w:val="0070C0"/>
        </w:rPr>
      </w:pPr>
    </w:p>
    <w:p w14:paraId="41FCDDE9" w14:textId="48BAF480" w:rsidR="006F2D09" w:rsidRDefault="000D12A3" w:rsidP="00F81942">
      <w:r w:rsidRPr="000D12A3">
        <w:rPr>
          <w:noProof/>
          <w:lang w:eastAsia="en-AU"/>
        </w:rPr>
        <w:drawing>
          <wp:inline distT="0" distB="0" distL="0" distR="0" wp14:anchorId="646DF430" wp14:editId="5E73CE46">
            <wp:extent cx="6120130" cy="1176020"/>
            <wp:effectExtent l="0" t="0" r="0" b="5080"/>
            <wp:docPr id="5" name="Picture 5" descr="J:\AID\PPT\DatMat\Spatial Data Policy\ANZLIC\ANZLIC Strategic Plan 2020-2024\FSDF Icons 10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ID\PPT\DatMat\Spatial Data Policy\ANZLIC\ANZLIC Strategic Plan 2020-2024\FSDF Icons 10x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130" cy="1176020"/>
                    </a:xfrm>
                    <a:prstGeom prst="rect">
                      <a:avLst/>
                    </a:prstGeom>
                    <a:noFill/>
                    <a:ln>
                      <a:noFill/>
                    </a:ln>
                  </pic:spPr>
                </pic:pic>
              </a:graphicData>
            </a:graphic>
          </wp:inline>
        </w:drawing>
      </w:r>
    </w:p>
    <w:p w14:paraId="4DE46C54" w14:textId="30BDEE7B" w:rsidR="003E6977" w:rsidRDefault="003E6977" w:rsidP="003E6977">
      <w:pPr>
        <w:pStyle w:val="Heading2"/>
      </w:pPr>
      <w:r w:rsidRPr="00587C70">
        <w:rPr>
          <w:color w:val="006699"/>
        </w:rPr>
        <w:lastRenderedPageBreak/>
        <w:t>Who we are</w:t>
      </w:r>
    </w:p>
    <w:p w14:paraId="48EACFC9" w14:textId="7FFCD4B0" w:rsidR="002C08E7" w:rsidRPr="0043565B" w:rsidRDefault="003E6977" w:rsidP="00F32674">
      <w:pPr>
        <w:rPr>
          <w:sz w:val="22"/>
        </w:rPr>
      </w:pPr>
      <w:r w:rsidRPr="0043565B">
        <w:rPr>
          <w:sz w:val="22"/>
        </w:rPr>
        <w:t>ANZLIC – The Spatial Information Council is the</w:t>
      </w:r>
      <w:r w:rsidR="002C08E7" w:rsidRPr="0043565B">
        <w:rPr>
          <w:rFonts w:cstheme="minorHAnsi"/>
          <w:i/>
          <w:sz w:val="22"/>
          <w:lang w:val="en"/>
        </w:rPr>
        <w:t xml:space="preserve"> </w:t>
      </w:r>
      <w:r w:rsidR="002C08E7" w:rsidRPr="0043565B">
        <w:rPr>
          <w:rFonts w:cstheme="minorHAnsi"/>
          <w:sz w:val="22"/>
          <w:lang w:val="en"/>
        </w:rPr>
        <w:t>peak intergovernmental group of senior officials providing leadership on all aspects of spatial service delivery and information</w:t>
      </w:r>
      <w:r w:rsidR="00C6794A" w:rsidRPr="0043565B">
        <w:rPr>
          <w:rFonts w:cstheme="minorHAnsi"/>
          <w:sz w:val="22"/>
          <w:lang w:val="en"/>
        </w:rPr>
        <w:t>.</w:t>
      </w:r>
    </w:p>
    <w:p w14:paraId="0D26958C" w14:textId="77777777" w:rsidR="00987030" w:rsidRPr="00587C70" w:rsidRDefault="00987030" w:rsidP="00987030">
      <w:pPr>
        <w:pStyle w:val="Heading2"/>
        <w:spacing w:before="240"/>
        <w:rPr>
          <w:color w:val="006699"/>
        </w:rPr>
      </w:pPr>
      <w:r w:rsidRPr="00587C70">
        <w:rPr>
          <w:color w:val="006699"/>
        </w:rPr>
        <w:t>Our vision</w:t>
      </w:r>
    </w:p>
    <w:p w14:paraId="337AE7B2" w14:textId="3155E7C4" w:rsidR="005C6243" w:rsidRPr="0043565B" w:rsidRDefault="007E307D" w:rsidP="005415C1">
      <w:pPr>
        <w:spacing w:line="240" w:lineRule="auto"/>
        <w:rPr>
          <w:rFonts w:cstheme="minorHAnsi"/>
          <w:i/>
          <w:sz w:val="22"/>
          <w:lang w:val="en"/>
        </w:rPr>
        <w:sectPr w:rsidR="005C6243" w:rsidRPr="0043565B" w:rsidSect="005B2ACA">
          <w:headerReference w:type="first" r:id="rId15"/>
          <w:footerReference w:type="first" r:id="rId16"/>
          <w:pgSz w:w="11906" w:h="16838"/>
          <w:pgMar w:top="1134" w:right="1134" w:bottom="1134" w:left="1134" w:header="709" w:footer="709" w:gutter="0"/>
          <w:cols w:space="708"/>
          <w:docGrid w:linePitch="360"/>
        </w:sectPr>
      </w:pPr>
      <w:r w:rsidRPr="0043565B">
        <w:rPr>
          <w:sz w:val="22"/>
        </w:rPr>
        <w:t>S</w:t>
      </w:r>
      <w:r w:rsidR="00C6794A" w:rsidRPr="0043565B">
        <w:rPr>
          <w:sz w:val="22"/>
        </w:rPr>
        <w:t>p</w:t>
      </w:r>
      <w:r w:rsidR="001F0B3A" w:rsidRPr="0043565B">
        <w:rPr>
          <w:sz w:val="22"/>
        </w:rPr>
        <w:t>atial capabilities and place-</w:t>
      </w:r>
      <w:r w:rsidR="00987030" w:rsidRPr="0043565B">
        <w:rPr>
          <w:sz w:val="22"/>
        </w:rPr>
        <w:t>based intelligence drive social, economic and environmental benefits across Australia and New Zealand</w:t>
      </w:r>
      <w:r w:rsidR="00C6794A" w:rsidRPr="0043565B">
        <w:rPr>
          <w:rFonts w:cstheme="minorHAnsi"/>
          <w:i/>
          <w:sz w:val="22"/>
          <w:lang w:val="en"/>
        </w:rPr>
        <w:t>.</w:t>
      </w:r>
    </w:p>
    <w:p w14:paraId="4DE46C59" w14:textId="72484043" w:rsidR="008334C0" w:rsidRPr="00F651CC" w:rsidRDefault="008334C0" w:rsidP="00884A47">
      <w:pPr>
        <w:pStyle w:val="Heading2"/>
        <w:pBdr>
          <w:top w:val="single" w:sz="24" w:space="0" w:color="78A879"/>
          <w:left w:val="single" w:sz="24" w:space="4" w:color="78A879"/>
          <w:bottom w:val="single" w:sz="24" w:space="1" w:color="78A879"/>
          <w:right w:val="single" w:sz="24" w:space="11" w:color="78A879"/>
        </w:pBdr>
        <w:spacing w:before="360"/>
        <w:rPr>
          <w:color w:val="339933"/>
        </w:rPr>
      </w:pPr>
      <w:r w:rsidRPr="00F651CC">
        <w:rPr>
          <w:color w:val="339933"/>
        </w:rPr>
        <w:t>What we do</w:t>
      </w:r>
    </w:p>
    <w:p w14:paraId="4DE46C5A" w14:textId="77777777" w:rsidR="008334C0" w:rsidRPr="0043565B" w:rsidRDefault="005B197E" w:rsidP="00884A47">
      <w:pPr>
        <w:pBdr>
          <w:top w:val="single" w:sz="24" w:space="0" w:color="78A879"/>
          <w:left w:val="single" w:sz="24" w:space="4" w:color="78A879"/>
          <w:bottom w:val="single" w:sz="24" w:space="1" w:color="78A879"/>
          <w:right w:val="single" w:sz="24" w:space="11" w:color="78A879"/>
        </w:pBdr>
        <w:rPr>
          <w:sz w:val="22"/>
        </w:rPr>
      </w:pPr>
      <w:r w:rsidRPr="0043565B">
        <w:rPr>
          <w:sz w:val="22"/>
        </w:rPr>
        <w:t>ANZLIC</w:t>
      </w:r>
      <w:r w:rsidR="00896279" w:rsidRPr="0043565B">
        <w:rPr>
          <w:sz w:val="22"/>
        </w:rPr>
        <w:t xml:space="preserve"> achieves its vision for Australia and New Zealand</w:t>
      </w:r>
      <w:r w:rsidRPr="0043565B">
        <w:rPr>
          <w:sz w:val="22"/>
        </w:rPr>
        <w:t xml:space="preserve"> by</w:t>
      </w:r>
      <w:r w:rsidR="008334C0" w:rsidRPr="0043565B">
        <w:rPr>
          <w:sz w:val="22"/>
        </w:rPr>
        <w:t>:</w:t>
      </w:r>
    </w:p>
    <w:p w14:paraId="4DE46C5B" w14:textId="774D299F" w:rsidR="00C82A83" w:rsidRPr="0043565B" w:rsidRDefault="00C82A83" w:rsidP="00884A47">
      <w:pPr>
        <w:pStyle w:val="ListParagraph"/>
        <w:numPr>
          <w:ilvl w:val="0"/>
          <w:numId w:val="4"/>
        </w:numPr>
        <w:pBdr>
          <w:top w:val="single" w:sz="24" w:space="0" w:color="78A879"/>
          <w:left w:val="single" w:sz="24" w:space="4" w:color="78A879"/>
          <w:bottom w:val="single" w:sz="24" w:space="1" w:color="78A879"/>
          <w:right w:val="single" w:sz="24" w:space="11" w:color="78A879"/>
        </w:pBdr>
        <w:ind w:left="357" w:hanging="357"/>
        <w:contextualSpacing w:val="0"/>
        <w:rPr>
          <w:sz w:val="22"/>
        </w:rPr>
      </w:pPr>
      <w:r w:rsidRPr="0043565B">
        <w:rPr>
          <w:b/>
          <w:color w:val="0070C0"/>
          <w:sz w:val="22"/>
        </w:rPr>
        <w:t xml:space="preserve">Providing </w:t>
      </w:r>
      <w:r w:rsidR="00BB30F9" w:rsidRPr="0043565B">
        <w:rPr>
          <w:b/>
          <w:color w:val="0070C0"/>
          <w:sz w:val="22"/>
        </w:rPr>
        <w:t xml:space="preserve">strategic </w:t>
      </w:r>
      <w:r w:rsidRPr="0043565B">
        <w:rPr>
          <w:b/>
          <w:color w:val="0070C0"/>
          <w:sz w:val="22"/>
        </w:rPr>
        <w:t>leadership and direction</w:t>
      </w:r>
      <w:r w:rsidRPr="0043565B">
        <w:rPr>
          <w:b/>
          <w:i/>
          <w:color w:val="0070C0"/>
          <w:sz w:val="22"/>
        </w:rPr>
        <w:t xml:space="preserve"> </w:t>
      </w:r>
      <w:r w:rsidRPr="0043565B">
        <w:rPr>
          <w:sz w:val="22"/>
        </w:rPr>
        <w:t>to achieve a standar</w:t>
      </w:r>
      <w:r w:rsidR="00896279" w:rsidRPr="0043565B">
        <w:rPr>
          <w:sz w:val="22"/>
        </w:rPr>
        <w:t xml:space="preserve">dised approach for </w:t>
      </w:r>
      <w:r w:rsidRPr="0043565B">
        <w:rPr>
          <w:sz w:val="22"/>
        </w:rPr>
        <w:t xml:space="preserve">foundation spatial data and </w:t>
      </w:r>
      <w:r w:rsidR="002A47F4" w:rsidRPr="0043565B">
        <w:rPr>
          <w:sz w:val="22"/>
        </w:rPr>
        <w:t>capabilities</w:t>
      </w:r>
      <w:r w:rsidRPr="0043565B">
        <w:rPr>
          <w:sz w:val="22"/>
        </w:rPr>
        <w:t>, both within jurisdi</w:t>
      </w:r>
      <w:r w:rsidR="00896279" w:rsidRPr="0043565B">
        <w:rPr>
          <w:sz w:val="22"/>
        </w:rPr>
        <w:t>ctions and nationally</w:t>
      </w:r>
      <w:r w:rsidRPr="0043565B">
        <w:rPr>
          <w:sz w:val="22"/>
        </w:rPr>
        <w:t>.</w:t>
      </w:r>
    </w:p>
    <w:p w14:paraId="58766CDD" w14:textId="3ED4DDF9" w:rsidR="002C08E7" w:rsidRPr="0043565B" w:rsidRDefault="002C08E7" w:rsidP="00884A47">
      <w:pPr>
        <w:pStyle w:val="ListParagraph"/>
        <w:numPr>
          <w:ilvl w:val="0"/>
          <w:numId w:val="4"/>
        </w:numPr>
        <w:pBdr>
          <w:top w:val="single" w:sz="24" w:space="0" w:color="78A879"/>
          <w:left w:val="single" w:sz="24" w:space="4" w:color="78A879"/>
          <w:bottom w:val="single" w:sz="24" w:space="1" w:color="78A879"/>
          <w:right w:val="single" w:sz="24" w:space="11" w:color="78A879"/>
        </w:pBdr>
        <w:ind w:left="357" w:hanging="357"/>
        <w:contextualSpacing w:val="0"/>
        <w:rPr>
          <w:sz w:val="22"/>
        </w:rPr>
      </w:pPr>
      <w:r w:rsidRPr="0043565B">
        <w:rPr>
          <w:b/>
          <w:color w:val="0070AE" w:themeColor="accent2" w:themeTint="BF"/>
          <w:sz w:val="22"/>
        </w:rPr>
        <w:t>Promoting</w:t>
      </w:r>
      <w:r w:rsidR="00BE5193" w:rsidRPr="0043565B">
        <w:rPr>
          <w:b/>
          <w:color w:val="0070AE" w:themeColor="accent2" w:themeTint="BF"/>
          <w:sz w:val="22"/>
        </w:rPr>
        <w:t xml:space="preserve"> </w:t>
      </w:r>
      <w:r w:rsidRPr="0043565B">
        <w:rPr>
          <w:b/>
          <w:color w:val="0070AE" w:themeColor="accent2" w:themeTint="BF"/>
          <w:sz w:val="22"/>
        </w:rPr>
        <w:t>and advocating for spatial priorities of strategic importance</w:t>
      </w:r>
      <w:r w:rsidRPr="0043565B">
        <w:rPr>
          <w:b/>
          <w:i/>
          <w:color w:val="0070AE" w:themeColor="accent2" w:themeTint="BF"/>
          <w:sz w:val="22"/>
        </w:rPr>
        <w:t xml:space="preserve"> </w:t>
      </w:r>
      <w:r w:rsidRPr="0043565B">
        <w:rPr>
          <w:sz w:val="22"/>
        </w:rPr>
        <w:t xml:space="preserve">with </w:t>
      </w:r>
      <w:r w:rsidR="00765C15" w:rsidRPr="0043565B">
        <w:rPr>
          <w:sz w:val="22"/>
        </w:rPr>
        <w:t>both spatial and non-spatial</w:t>
      </w:r>
      <w:r w:rsidRPr="0043565B">
        <w:rPr>
          <w:sz w:val="22"/>
        </w:rPr>
        <w:t xml:space="preserve"> stakeholders and decision-makers across Australia and New Zealand.</w:t>
      </w:r>
    </w:p>
    <w:p w14:paraId="310D7259" w14:textId="77777777" w:rsidR="001F0B3A" w:rsidRPr="0043565B" w:rsidRDefault="00BB30F9" w:rsidP="00884A47">
      <w:pPr>
        <w:pStyle w:val="ListParagraph"/>
        <w:numPr>
          <w:ilvl w:val="0"/>
          <w:numId w:val="4"/>
        </w:numPr>
        <w:pBdr>
          <w:top w:val="single" w:sz="24" w:space="0" w:color="78A879"/>
          <w:left w:val="single" w:sz="24" w:space="4" w:color="78A879"/>
          <w:bottom w:val="single" w:sz="24" w:space="1" w:color="78A879"/>
          <w:right w:val="single" w:sz="24" w:space="11" w:color="78A879"/>
        </w:pBdr>
        <w:ind w:left="357" w:hanging="357"/>
        <w:contextualSpacing w:val="0"/>
        <w:rPr>
          <w:sz w:val="22"/>
        </w:rPr>
      </w:pPr>
      <w:r w:rsidRPr="0043565B">
        <w:rPr>
          <w:b/>
          <w:color w:val="0070AE" w:themeColor="accent2" w:themeTint="BF"/>
          <w:sz w:val="22"/>
        </w:rPr>
        <w:t>Leading c</w:t>
      </w:r>
      <w:r w:rsidR="002C08E7" w:rsidRPr="0043565B">
        <w:rPr>
          <w:b/>
          <w:color w:val="0070AE" w:themeColor="accent2" w:themeTint="BF"/>
          <w:sz w:val="22"/>
        </w:rPr>
        <w:t>ollaborati</w:t>
      </w:r>
      <w:r w:rsidRPr="0043565B">
        <w:rPr>
          <w:b/>
          <w:color w:val="0070AE" w:themeColor="accent2" w:themeTint="BF"/>
          <w:sz w:val="22"/>
        </w:rPr>
        <w:t>on and coordination</w:t>
      </w:r>
      <w:r w:rsidR="001474C5" w:rsidRPr="0043565B">
        <w:rPr>
          <w:color w:val="0070AE" w:themeColor="accent2" w:themeTint="BF"/>
          <w:sz w:val="22"/>
        </w:rPr>
        <w:t xml:space="preserve"> </w:t>
      </w:r>
      <w:r w:rsidR="001474C5" w:rsidRPr="0043565B">
        <w:rPr>
          <w:sz w:val="22"/>
        </w:rPr>
        <w:t>on</w:t>
      </w:r>
      <w:r w:rsidR="002C08E7" w:rsidRPr="0043565B">
        <w:rPr>
          <w:sz w:val="22"/>
        </w:rPr>
        <w:t xml:space="preserve"> common spatial </w:t>
      </w:r>
      <w:r w:rsidR="00765C15" w:rsidRPr="0043565B">
        <w:rPr>
          <w:sz w:val="22"/>
        </w:rPr>
        <w:t>data</w:t>
      </w:r>
      <w:r w:rsidR="0004371B" w:rsidRPr="0043565B">
        <w:rPr>
          <w:sz w:val="22"/>
        </w:rPr>
        <w:t xml:space="preserve"> opportunities and</w:t>
      </w:r>
      <w:r w:rsidR="00765C15" w:rsidRPr="0043565B">
        <w:rPr>
          <w:sz w:val="22"/>
        </w:rPr>
        <w:t xml:space="preserve"> </w:t>
      </w:r>
      <w:r w:rsidR="002C08E7" w:rsidRPr="0043565B">
        <w:rPr>
          <w:sz w:val="22"/>
        </w:rPr>
        <w:t>issues across government, industry and the research sector.</w:t>
      </w:r>
    </w:p>
    <w:p w14:paraId="4DE46C5C" w14:textId="6BE88A5C" w:rsidR="00C82A83" w:rsidRPr="0043565B" w:rsidRDefault="00C82A83" w:rsidP="00884A47">
      <w:pPr>
        <w:pStyle w:val="ListParagraph"/>
        <w:numPr>
          <w:ilvl w:val="0"/>
          <w:numId w:val="4"/>
        </w:numPr>
        <w:pBdr>
          <w:top w:val="single" w:sz="24" w:space="0" w:color="78A879"/>
          <w:left w:val="single" w:sz="24" w:space="4" w:color="78A879"/>
          <w:bottom w:val="single" w:sz="24" w:space="1" w:color="78A879"/>
          <w:right w:val="single" w:sz="24" w:space="11" w:color="78A879"/>
        </w:pBdr>
        <w:ind w:left="357" w:hanging="357"/>
        <w:contextualSpacing w:val="0"/>
        <w:rPr>
          <w:sz w:val="22"/>
        </w:rPr>
      </w:pPr>
      <w:r w:rsidRPr="0043565B">
        <w:rPr>
          <w:b/>
          <w:color w:val="0070AE" w:themeColor="accent2" w:themeTint="BF"/>
          <w:sz w:val="22"/>
        </w:rPr>
        <w:t xml:space="preserve">Developing </w:t>
      </w:r>
      <w:r w:rsidR="007C450C" w:rsidRPr="0043565B">
        <w:rPr>
          <w:b/>
          <w:color w:val="0070AE" w:themeColor="accent2" w:themeTint="BF"/>
          <w:sz w:val="22"/>
        </w:rPr>
        <w:t>strategy and an annual program of activities</w:t>
      </w:r>
      <w:r w:rsidR="007C450C" w:rsidRPr="0043565B">
        <w:rPr>
          <w:b/>
          <w:i/>
          <w:color w:val="0070AE" w:themeColor="accent2" w:themeTint="BF"/>
          <w:sz w:val="22"/>
        </w:rPr>
        <w:t xml:space="preserve"> </w:t>
      </w:r>
      <w:r w:rsidR="00896279" w:rsidRPr="0043565B">
        <w:rPr>
          <w:sz w:val="22"/>
        </w:rPr>
        <w:t xml:space="preserve">to </w:t>
      </w:r>
      <w:r w:rsidR="007C450C" w:rsidRPr="0043565B">
        <w:rPr>
          <w:sz w:val="22"/>
        </w:rPr>
        <w:t xml:space="preserve">support accessible, innovative and integrated spatial data and </w:t>
      </w:r>
      <w:r w:rsidR="002A47F4" w:rsidRPr="0043565B">
        <w:rPr>
          <w:sz w:val="22"/>
        </w:rPr>
        <w:t>capabilities</w:t>
      </w:r>
      <w:r w:rsidR="007C450C" w:rsidRPr="0043565B">
        <w:rPr>
          <w:sz w:val="22"/>
        </w:rPr>
        <w:t>.</w:t>
      </w:r>
    </w:p>
    <w:p w14:paraId="3F5E0B7D" w14:textId="1766BC19" w:rsidR="00A231F0" w:rsidRPr="0043565B" w:rsidRDefault="00A231F0" w:rsidP="00884A47">
      <w:pPr>
        <w:pStyle w:val="ListParagraph"/>
        <w:numPr>
          <w:ilvl w:val="0"/>
          <w:numId w:val="4"/>
        </w:numPr>
        <w:pBdr>
          <w:top w:val="single" w:sz="24" w:space="0" w:color="78A879"/>
          <w:left w:val="single" w:sz="24" w:space="4" w:color="78A879"/>
          <w:bottom w:val="single" w:sz="24" w:space="1" w:color="78A879"/>
          <w:right w:val="single" w:sz="24" w:space="11" w:color="78A879"/>
        </w:pBdr>
        <w:ind w:left="357" w:hanging="357"/>
        <w:contextualSpacing w:val="0"/>
        <w:rPr>
          <w:sz w:val="22"/>
        </w:rPr>
      </w:pPr>
      <w:r w:rsidRPr="0043565B">
        <w:rPr>
          <w:b/>
          <w:color w:val="0070AE" w:themeColor="accent2" w:themeTint="BF"/>
          <w:sz w:val="22"/>
        </w:rPr>
        <w:t>Drawing on international best practice</w:t>
      </w:r>
      <w:r w:rsidRPr="0043565B">
        <w:rPr>
          <w:sz w:val="22"/>
        </w:rPr>
        <w:t>,</w:t>
      </w:r>
      <w:r w:rsidRPr="0043565B">
        <w:rPr>
          <w:b/>
          <w:sz w:val="22"/>
        </w:rPr>
        <w:t xml:space="preserve"> </w:t>
      </w:r>
      <w:r w:rsidRPr="0043565B">
        <w:rPr>
          <w:sz w:val="22"/>
        </w:rPr>
        <w:t>such as work by the United Nations Global Geospatial Information Management (UN-GGIM) Committee of Experts and the Integrated Geospatial Information Framework (IGIF)</w:t>
      </w:r>
      <w:r w:rsidR="00BE2317" w:rsidRPr="0043565B">
        <w:rPr>
          <w:sz w:val="22"/>
          <w:vertAlign w:val="superscript"/>
        </w:rPr>
        <w:t>1</w:t>
      </w:r>
      <w:r w:rsidRPr="0043565B">
        <w:rPr>
          <w:sz w:val="22"/>
        </w:rPr>
        <w:t>, to strengthen national-level spatial information arrangements across Australia and New Zealand.</w:t>
      </w:r>
      <w:r w:rsidRPr="0043565B">
        <w:rPr>
          <w:b/>
          <w:sz w:val="22"/>
        </w:rPr>
        <w:t xml:space="preserve"> </w:t>
      </w:r>
    </w:p>
    <w:p w14:paraId="4DE46C5F" w14:textId="040F90AB" w:rsidR="005B197E" w:rsidRPr="0043565B" w:rsidRDefault="002A47F4" w:rsidP="00884A47">
      <w:pPr>
        <w:pStyle w:val="ListParagraph"/>
        <w:numPr>
          <w:ilvl w:val="0"/>
          <w:numId w:val="4"/>
        </w:numPr>
        <w:pBdr>
          <w:top w:val="single" w:sz="24" w:space="0" w:color="78A879"/>
          <w:left w:val="single" w:sz="24" w:space="4" w:color="78A879"/>
          <w:bottom w:val="single" w:sz="24" w:space="1" w:color="78A879"/>
          <w:right w:val="single" w:sz="24" w:space="11" w:color="78A879"/>
        </w:pBdr>
        <w:ind w:left="357" w:hanging="357"/>
        <w:contextualSpacing w:val="0"/>
        <w:rPr>
          <w:color w:val="339933"/>
          <w:sz w:val="22"/>
        </w:rPr>
      </w:pPr>
      <w:r w:rsidRPr="0043565B">
        <w:rPr>
          <w:b/>
          <w:color w:val="0070AE" w:themeColor="accent2" w:themeTint="BF"/>
          <w:sz w:val="22"/>
        </w:rPr>
        <w:t>Working with</w:t>
      </w:r>
      <w:r w:rsidR="007C450C" w:rsidRPr="0043565B">
        <w:rPr>
          <w:b/>
          <w:color w:val="0070AE" w:themeColor="accent2" w:themeTint="BF"/>
          <w:sz w:val="22"/>
        </w:rPr>
        <w:t xml:space="preserve"> the Intergovernmental Committee on Surveying and Mapping (ICSM)</w:t>
      </w:r>
      <w:r w:rsidR="007C450C" w:rsidRPr="0043565B">
        <w:rPr>
          <w:b/>
          <w:i/>
          <w:color w:val="0070AE" w:themeColor="accent2" w:themeTint="BF"/>
          <w:sz w:val="22"/>
        </w:rPr>
        <w:t xml:space="preserve"> </w:t>
      </w:r>
      <w:r w:rsidR="007C450C" w:rsidRPr="0043565B">
        <w:rPr>
          <w:sz w:val="22"/>
        </w:rPr>
        <w:t>as ANZLIC</w:t>
      </w:r>
      <w:r w:rsidR="00066DCC" w:rsidRPr="0043565B">
        <w:rPr>
          <w:sz w:val="22"/>
        </w:rPr>
        <w:t xml:space="preserve">’s delivery arm, to implement </w:t>
      </w:r>
      <w:r w:rsidR="007C450C" w:rsidRPr="0043565B">
        <w:rPr>
          <w:sz w:val="22"/>
        </w:rPr>
        <w:t>spatial data initiatives</w:t>
      </w:r>
      <w:r w:rsidR="00765C15" w:rsidRPr="0043565B">
        <w:rPr>
          <w:sz w:val="22"/>
        </w:rPr>
        <w:t xml:space="preserve"> and drive de</w:t>
      </w:r>
      <w:r w:rsidR="007857EF" w:rsidRPr="0043565B">
        <w:rPr>
          <w:sz w:val="22"/>
        </w:rPr>
        <w:t>velopment and adoption of open</w:t>
      </w:r>
      <w:r w:rsidR="00765C15" w:rsidRPr="0043565B">
        <w:rPr>
          <w:sz w:val="22"/>
        </w:rPr>
        <w:t xml:space="preserve"> spatial data standards.</w:t>
      </w:r>
    </w:p>
    <w:p w14:paraId="76D8D0A1" w14:textId="77777777" w:rsidR="000F294A" w:rsidRPr="00587C70" w:rsidRDefault="000F294A" w:rsidP="000F294A">
      <w:pPr>
        <w:pStyle w:val="Heading2"/>
        <w:spacing w:before="360" w:line="240" w:lineRule="auto"/>
        <w:rPr>
          <w:color w:val="006699"/>
        </w:rPr>
      </w:pPr>
      <w:r w:rsidRPr="00587C70">
        <w:rPr>
          <w:color w:val="006699"/>
        </w:rPr>
        <w:t>National outcomes we support</w:t>
      </w:r>
    </w:p>
    <w:p w14:paraId="32F09FAC" w14:textId="326B6123" w:rsidR="001F0B3A" w:rsidRPr="0043565B" w:rsidRDefault="000F294A" w:rsidP="00884A47">
      <w:pPr>
        <w:pStyle w:val="ListParagraph"/>
        <w:numPr>
          <w:ilvl w:val="0"/>
          <w:numId w:val="30"/>
        </w:numPr>
        <w:spacing w:after="240" w:line="360" w:lineRule="auto"/>
        <w:rPr>
          <w:color w:val="000000" w:themeColor="text1"/>
          <w:sz w:val="22"/>
        </w:rPr>
      </w:pPr>
      <w:r w:rsidRPr="0043565B">
        <w:rPr>
          <w:color w:val="000000" w:themeColor="text1"/>
          <w:sz w:val="22"/>
        </w:rPr>
        <w:t>Sustainable city and regional development</w:t>
      </w:r>
    </w:p>
    <w:p w14:paraId="542A528A" w14:textId="7F7BF167" w:rsidR="001F0B3A" w:rsidRPr="0043565B" w:rsidRDefault="000F294A" w:rsidP="00884A47">
      <w:pPr>
        <w:pStyle w:val="ListParagraph"/>
        <w:numPr>
          <w:ilvl w:val="0"/>
          <w:numId w:val="30"/>
        </w:numPr>
        <w:spacing w:after="240" w:line="360" w:lineRule="auto"/>
        <w:rPr>
          <w:color w:val="000000" w:themeColor="text1"/>
          <w:sz w:val="22"/>
        </w:rPr>
      </w:pPr>
      <w:r w:rsidRPr="0043565B">
        <w:rPr>
          <w:color w:val="000000" w:themeColor="text1"/>
          <w:sz w:val="22"/>
        </w:rPr>
        <w:t>Efficient and effec</w:t>
      </w:r>
      <w:r w:rsidR="001F0B3A" w:rsidRPr="0043565B">
        <w:rPr>
          <w:color w:val="000000" w:themeColor="text1"/>
          <w:sz w:val="22"/>
        </w:rPr>
        <w:t>tive government service delivery</w:t>
      </w:r>
    </w:p>
    <w:p w14:paraId="4DE46C66" w14:textId="77777777" w:rsidR="00DF4C36" w:rsidRPr="0043565B" w:rsidRDefault="00EF0561" w:rsidP="00884A47">
      <w:pPr>
        <w:pStyle w:val="ListParagraph"/>
        <w:numPr>
          <w:ilvl w:val="0"/>
          <w:numId w:val="30"/>
        </w:numPr>
        <w:spacing w:after="240" w:line="360" w:lineRule="auto"/>
        <w:rPr>
          <w:color w:val="000000" w:themeColor="text1"/>
          <w:sz w:val="22"/>
        </w:rPr>
      </w:pPr>
      <w:r w:rsidRPr="0043565B">
        <w:rPr>
          <w:color w:val="000000" w:themeColor="text1"/>
          <w:sz w:val="22"/>
        </w:rPr>
        <w:t>Reduced n</w:t>
      </w:r>
      <w:r w:rsidR="00DF4C36" w:rsidRPr="0043565B">
        <w:rPr>
          <w:color w:val="000000" w:themeColor="text1"/>
          <w:sz w:val="22"/>
        </w:rPr>
        <w:t>atural</w:t>
      </w:r>
      <w:r w:rsidRPr="0043565B">
        <w:rPr>
          <w:color w:val="000000" w:themeColor="text1"/>
          <w:sz w:val="22"/>
        </w:rPr>
        <w:t xml:space="preserve"> disaster and climate impacts on people, property and the environment</w:t>
      </w:r>
    </w:p>
    <w:p w14:paraId="4DE46C68" w14:textId="77777777" w:rsidR="00DF4C36" w:rsidRPr="0043565B" w:rsidRDefault="00EF0561" w:rsidP="00884A47">
      <w:pPr>
        <w:pStyle w:val="ListParagraph"/>
        <w:numPr>
          <w:ilvl w:val="0"/>
          <w:numId w:val="30"/>
        </w:numPr>
        <w:spacing w:after="240" w:line="360" w:lineRule="auto"/>
        <w:rPr>
          <w:color w:val="000000" w:themeColor="text1"/>
          <w:sz w:val="22"/>
        </w:rPr>
      </w:pPr>
      <w:r w:rsidRPr="0043565B">
        <w:rPr>
          <w:color w:val="000000" w:themeColor="text1"/>
          <w:sz w:val="22"/>
        </w:rPr>
        <w:t>Safe and secure</w:t>
      </w:r>
      <w:r w:rsidR="00DF4C36" w:rsidRPr="0043565B">
        <w:rPr>
          <w:color w:val="000000" w:themeColor="text1"/>
          <w:sz w:val="22"/>
        </w:rPr>
        <w:t xml:space="preserve"> water resources</w:t>
      </w:r>
    </w:p>
    <w:p w14:paraId="4DE46C69" w14:textId="77777777" w:rsidR="00EF0561" w:rsidRPr="0043565B" w:rsidRDefault="00EF0561" w:rsidP="00884A47">
      <w:pPr>
        <w:pStyle w:val="ListParagraph"/>
        <w:numPr>
          <w:ilvl w:val="0"/>
          <w:numId w:val="30"/>
        </w:numPr>
        <w:spacing w:after="240" w:line="360" w:lineRule="auto"/>
        <w:rPr>
          <w:color w:val="000000" w:themeColor="text1"/>
          <w:sz w:val="22"/>
        </w:rPr>
      </w:pPr>
      <w:r w:rsidRPr="0043565B">
        <w:rPr>
          <w:color w:val="000000" w:themeColor="text1"/>
          <w:sz w:val="22"/>
        </w:rPr>
        <w:t>Healthy, resilient and biodiverse natural environment</w:t>
      </w:r>
    </w:p>
    <w:p w14:paraId="4DE46C6A" w14:textId="72DD6EDA" w:rsidR="00B171CD" w:rsidRPr="0043565B" w:rsidRDefault="00C94545" w:rsidP="00884A47">
      <w:pPr>
        <w:pStyle w:val="ListParagraph"/>
        <w:numPr>
          <w:ilvl w:val="0"/>
          <w:numId w:val="30"/>
        </w:numPr>
        <w:spacing w:after="240" w:line="360" w:lineRule="auto"/>
        <w:rPr>
          <w:color w:val="000000" w:themeColor="text1"/>
          <w:sz w:val="22"/>
        </w:rPr>
      </w:pPr>
      <w:r w:rsidRPr="0043565B">
        <w:rPr>
          <w:color w:val="000000" w:themeColor="text1"/>
          <w:sz w:val="22"/>
        </w:rPr>
        <w:t>More productive, e</w:t>
      </w:r>
      <w:r w:rsidR="005A7A87" w:rsidRPr="0043565B">
        <w:rPr>
          <w:color w:val="000000" w:themeColor="text1"/>
          <w:sz w:val="22"/>
        </w:rPr>
        <w:t>fficient</w:t>
      </w:r>
      <w:r w:rsidRPr="0043565B">
        <w:rPr>
          <w:color w:val="000000" w:themeColor="text1"/>
          <w:sz w:val="22"/>
        </w:rPr>
        <w:t xml:space="preserve"> and safe</w:t>
      </w:r>
      <w:r w:rsidR="005A7A87" w:rsidRPr="0043565B">
        <w:rPr>
          <w:color w:val="000000" w:themeColor="text1"/>
          <w:sz w:val="22"/>
        </w:rPr>
        <w:t xml:space="preserve"> built</w:t>
      </w:r>
      <w:r w:rsidR="00B171CD" w:rsidRPr="0043565B">
        <w:rPr>
          <w:color w:val="000000" w:themeColor="text1"/>
          <w:sz w:val="22"/>
        </w:rPr>
        <w:t xml:space="preserve"> infrastructure</w:t>
      </w:r>
    </w:p>
    <w:p w14:paraId="6EBDEBDB" w14:textId="77777777" w:rsidR="001F0B3A" w:rsidRPr="0043565B" w:rsidRDefault="004238A2" w:rsidP="00884A47">
      <w:pPr>
        <w:pStyle w:val="ListParagraph"/>
        <w:numPr>
          <w:ilvl w:val="0"/>
          <w:numId w:val="30"/>
        </w:numPr>
        <w:spacing w:after="240" w:line="360" w:lineRule="auto"/>
        <w:rPr>
          <w:color w:val="000000" w:themeColor="text1"/>
          <w:sz w:val="22"/>
        </w:rPr>
      </w:pPr>
      <w:r w:rsidRPr="0043565B">
        <w:rPr>
          <w:color w:val="000000" w:themeColor="text1"/>
          <w:sz w:val="22"/>
        </w:rPr>
        <w:t>Econo</w:t>
      </w:r>
      <w:r w:rsidR="00610F06" w:rsidRPr="0043565B">
        <w:rPr>
          <w:color w:val="000000" w:themeColor="text1"/>
          <w:sz w:val="22"/>
        </w:rPr>
        <w:t>mic growth and digital inno</w:t>
      </w:r>
      <w:r w:rsidR="004846DC" w:rsidRPr="0043565B">
        <w:rPr>
          <w:color w:val="000000" w:themeColor="text1"/>
          <w:sz w:val="22"/>
        </w:rPr>
        <w:t>vation</w:t>
      </w:r>
    </w:p>
    <w:p w14:paraId="48701235" w14:textId="070E2ED1" w:rsidR="006225D0" w:rsidRPr="0043565B" w:rsidRDefault="006225D0" w:rsidP="00884A47">
      <w:pPr>
        <w:pStyle w:val="ListParagraph"/>
        <w:numPr>
          <w:ilvl w:val="0"/>
          <w:numId w:val="30"/>
        </w:numPr>
        <w:spacing w:after="240" w:line="360" w:lineRule="auto"/>
        <w:rPr>
          <w:color w:val="000000" w:themeColor="text1"/>
          <w:sz w:val="22"/>
        </w:rPr>
      </w:pPr>
      <w:r w:rsidRPr="0043565B">
        <w:rPr>
          <w:sz w:val="22"/>
          <w:szCs w:val="20"/>
        </w:rPr>
        <w:t>Thriving, diverse and inclusive communities</w:t>
      </w:r>
    </w:p>
    <w:p w14:paraId="093C817E" w14:textId="4510F87C" w:rsidR="000C0512" w:rsidRPr="00F651CC" w:rsidRDefault="00610F06" w:rsidP="000C0512">
      <w:pPr>
        <w:pStyle w:val="Heading2"/>
        <w:rPr>
          <w:color w:val="339933"/>
        </w:rPr>
      </w:pPr>
      <w:r>
        <w:br w:type="column"/>
      </w:r>
      <w:r w:rsidR="00534FAC" w:rsidRPr="00F651CC">
        <w:rPr>
          <w:color w:val="339933"/>
        </w:rPr>
        <w:lastRenderedPageBreak/>
        <w:t>Key challenges and opportunities</w:t>
      </w:r>
    </w:p>
    <w:tbl>
      <w:tblPr>
        <w:tblStyle w:val="TableGrid"/>
        <w:tblW w:w="9972" w:type="dxa"/>
        <w:tblLook w:val="04A0" w:firstRow="1" w:lastRow="0" w:firstColumn="1" w:lastColumn="0" w:noHBand="0" w:noVBand="1"/>
      </w:tblPr>
      <w:tblGrid>
        <w:gridCol w:w="2125"/>
        <w:gridCol w:w="7847"/>
      </w:tblGrid>
      <w:tr w:rsidR="000C0512" w14:paraId="485659FC" w14:textId="77777777" w:rsidTr="005C69A7">
        <w:trPr>
          <w:trHeight w:val="3912"/>
        </w:trPr>
        <w:tc>
          <w:tcPr>
            <w:tcW w:w="2125" w:type="dxa"/>
            <w:shd w:val="clear" w:color="auto" w:fill="006699"/>
            <w:vAlign w:val="center"/>
          </w:tcPr>
          <w:p w14:paraId="72B50CFA" w14:textId="77777777" w:rsidR="000C0512" w:rsidRPr="006C4CEA" w:rsidRDefault="000C0512" w:rsidP="005C69A7">
            <w:pPr>
              <w:pStyle w:val="Heading4"/>
              <w:spacing w:after="120"/>
              <w:outlineLvl w:val="3"/>
              <w:rPr>
                <w:b/>
                <w:color w:val="FFFFFF" w:themeColor="background1"/>
              </w:rPr>
            </w:pPr>
            <w:r w:rsidRPr="006C4CEA">
              <w:rPr>
                <w:b/>
                <w:color w:val="FFFFFF" w:themeColor="background1"/>
              </w:rPr>
              <w:t>Benefits</w:t>
            </w:r>
          </w:p>
          <w:p w14:paraId="138E4D74" w14:textId="77777777" w:rsidR="000C0512" w:rsidRPr="00884A47" w:rsidRDefault="000C0512" w:rsidP="005C69A7">
            <w:pPr>
              <w:rPr>
                <w:sz w:val="28"/>
              </w:rPr>
            </w:pPr>
          </w:p>
        </w:tc>
        <w:tc>
          <w:tcPr>
            <w:tcW w:w="7847" w:type="dxa"/>
            <w:vAlign w:val="center"/>
          </w:tcPr>
          <w:p w14:paraId="1F63C521" w14:textId="77777777" w:rsidR="000C0512" w:rsidRPr="0043565B" w:rsidRDefault="000C0512" w:rsidP="005C69A7">
            <w:pPr>
              <w:pStyle w:val="ListParagraph"/>
              <w:numPr>
                <w:ilvl w:val="0"/>
                <w:numId w:val="5"/>
              </w:numPr>
              <w:spacing w:before="120"/>
              <w:ind w:left="425" w:hanging="357"/>
              <w:contextualSpacing w:val="0"/>
              <w:rPr>
                <w:color w:val="005677" w:themeColor="accent1"/>
                <w:sz w:val="22"/>
              </w:rPr>
            </w:pPr>
            <w:r w:rsidRPr="0043565B">
              <w:rPr>
                <w:b/>
                <w:color w:val="0070AE" w:themeColor="accent2" w:themeTint="BF"/>
                <w:sz w:val="22"/>
              </w:rPr>
              <w:t>Better planned cities and towns</w:t>
            </w:r>
            <w:r w:rsidRPr="0043565B">
              <w:rPr>
                <w:color w:val="0070AE" w:themeColor="accent2" w:themeTint="BF"/>
                <w:sz w:val="22"/>
              </w:rPr>
              <w:t xml:space="preserve"> </w:t>
            </w:r>
            <w:r w:rsidRPr="0043565B">
              <w:rPr>
                <w:sz w:val="22"/>
              </w:rPr>
              <w:t xml:space="preserve">could deliver an </w:t>
            </w:r>
            <w:r w:rsidRPr="0043565B">
              <w:rPr>
                <w:b/>
                <w:color w:val="0070AE" w:themeColor="accent2" w:themeTint="BF"/>
                <w:sz w:val="22"/>
              </w:rPr>
              <w:t>A$29 billion long-term increase in GDP</w:t>
            </w:r>
            <w:r w:rsidRPr="00884A47">
              <w:rPr>
                <w:sz w:val="22"/>
                <w:vertAlign w:val="superscript"/>
              </w:rPr>
              <w:t>2</w:t>
            </w:r>
          </w:p>
          <w:p w14:paraId="518E5051" w14:textId="77777777" w:rsidR="000C0512" w:rsidRPr="0043565B" w:rsidRDefault="000C0512" w:rsidP="005C69A7">
            <w:pPr>
              <w:pStyle w:val="ListParagraph"/>
              <w:numPr>
                <w:ilvl w:val="0"/>
                <w:numId w:val="5"/>
              </w:numPr>
              <w:ind w:left="426" w:hanging="357"/>
              <w:contextualSpacing w:val="0"/>
              <w:rPr>
                <w:color w:val="0070C0"/>
                <w:sz w:val="22"/>
              </w:rPr>
            </w:pPr>
            <w:r w:rsidRPr="0043565B">
              <w:rPr>
                <w:b/>
                <w:color w:val="0070AE" w:themeColor="accent2" w:themeTint="BF"/>
                <w:sz w:val="22"/>
              </w:rPr>
              <w:t>More efficient land use</w:t>
            </w:r>
            <w:r w:rsidRPr="0043565B">
              <w:rPr>
                <w:color w:val="0070AE" w:themeColor="accent2" w:themeTint="BF"/>
                <w:sz w:val="22"/>
              </w:rPr>
              <w:t xml:space="preserve"> </w:t>
            </w:r>
            <w:r w:rsidRPr="0043565B">
              <w:rPr>
                <w:sz w:val="22"/>
              </w:rPr>
              <w:t xml:space="preserve">could deliver benefits of </w:t>
            </w:r>
            <w:r w:rsidRPr="0043565B">
              <w:rPr>
                <w:b/>
                <w:color w:val="0070AE" w:themeColor="accent2" w:themeTint="BF"/>
                <w:sz w:val="22"/>
              </w:rPr>
              <w:t>~A$10 billion per year</w:t>
            </w:r>
            <w:r w:rsidRPr="0043565B">
              <w:rPr>
                <w:sz w:val="22"/>
                <w:vertAlign w:val="superscript"/>
              </w:rPr>
              <w:t>3</w:t>
            </w:r>
          </w:p>
          <w:p w14:paraId="5BAC0F49" w14:textId="77777777" w:rsidR="000C0512" w:rsidRPr="0043565B" w:rsidRDefault="000C0512" w:rsidP="005C69A7">
            <w:pPr>
              <w:pStyle w:val="ListParagraph"/>
              <w:numPr>
                <w:ilvl w:val="0"/>
                <w:numId w:val="5"/>
              </w:numPr>
              <w:ind w:left="426" w:hanging="357"/>
              <w:contextualSpacing w:val="0"/>
              <w:rPr>
                <w:sz w:val="22"/>
              </w:rPr>
            </w:pPr>
            <w:r w:rsidRPr="0043565B">
              <w:rPr>
                <w:b/>
                <w:color w:val="0070AE" w:themeColor="accent2" w:themeTint="BF"/>
                <w:sz w:val="22"/>
              </w:rPr>
              <w:t xml:space="preserve">Improved digital innovation </w:t>
            </w:r>
            <w:r w:rsidRPr="0043565B">
              <w:rPr>
                <w:sz w:val="22"/>
              </w:rPr>
              <w:t xml:space="preserve">could deliver </w:t>
            </w:r>
            <w:r w:rsidRPr="0043565B">
              <w:rPr>
                <w:b/>
                <w:color w:val="0070AE" w:themeColor="accent2" w:themeTint="BF"/>
                <w:sz w:val="22"/>
              </w:rPr>
              <w:t>A$315 billion in economic value</w:t>
            </w:r>
            <w:r w:rsidRPr="0043565B">
              <w:rPr>
                <w:color w:val="0070AE" w:themeColor="accent2" w:themeTint="BF"/>
                <w:sz w:val="22"/>
              </w:rPr>
              <w:t xml:space="preserve"> </w:t>
            </w:r>
            <w:r w:rsidRPr="0043565B">
              <w:rPr>
                <w:sz w:val="22"/>
              </w:rPr>
              <w:t>over the next decade</w:t>
            </w:r>
            <w:r w:rsidRPr="0043565B">
              <w:rPr>
                <w:sz w:val="22"/>
                <w:vertAlign w:val="superscript"/>
              </w:rPr>
              <w:t>4</w:t>
            </w:r>
          </w:p>
          <w:p w14:paraId="72D357E1" w14:textId="77777777" w:rsidR="000C0512" w:rsidRPr="0043565B" w:rsidRDefault="000C0512" w:rsidP="005C69A7">
            <w:pPr>
              <w:pStyle w:val="ListParagraph"/>
              <w:numPr>
                <w:ilvl w:val="0"/>
                <w:numId w:val="5"/>
              </w:numPr>
              <w:ind w:left="426" w:hanging="357"/>
              <w:contextualSpacing w:val="0"/>
              <w:rPr>
                <w:b/>
                <w:sz w:val="22"/>
              </w:rPr>
            </w:pPr>
            <w:r w:rsidRPr="0043565B">
              <w:rPr>
                <w:sz w:val="22"/>
              </w:rPr>
              <w:t xml:space="preserve">By 2030, </w:t>
            </w:r>
            <w:r w:rsidRPr="0043565B">
              <w:rPr>
                <w:b/>
                <w:color w:val="0070AE" w:themeColor="accent2" w:themeTint="BF"/>
                <w:sz w:val="22"/>
              </w:rPr>
              <w:t>increased use of automation and new technologies</w:t>
            </w:r>
            <w:r w:rsidRPr="0043565B">
              <w:rPr>
                <w:color w:val="0070AE" w:themeColor="accent2" w:themeTint="BF"/>
                <w:sz w:val="22"/>
              </w:rPr>
              <w:t xml:space="preserve"> </w:t>
            </w:r>
            <w:r w:rsidRPr="0043565B">
              <w:rPr>
                <w:sz w:val="22"/>
              </w:rPr>
              <w:t xml:space="preserve">could </w:t>
            </w:r>
            <w:r w:rsidRPr="0043565B">
              <w:rPr>
                <w:b/>
                <w:color w:val="0070AE" w:themeColor="accent2" w:themeTint="BF"/>
                <w:sz w:val="22"/>
              </w:rPr>
              <w:t>create jobs and boost national productivity and income by up to A$2.2 trillion</w:t>
            </w:r>
            <w:r w:rsidRPr="002D13FC">
              <w:rPr>
                <w:sz w:val="22"/>
                <w:vertAlign w:val="superscript"/>
              </w:rPr>
              <w:t>4</w:t>
            </w:r>
          </w:p>
          <w:p w14:paraId="553E0BC5" w14:textId="73D7385E" w:rsidR="000C0512" w:rsidRPr="0043565B" w:rsidRDefault="000C0512" w:rsidP="005C69A7">
            <w:pPr>
              <w:pStyle w:val="ListParagraph"/>
              <w:numPr>
                <w:ilvl w:val="0"/>
                <w:numId w:val="5"/>
              </w:numPr>
              <w:ind w:left="426" w:hanging="357"/>
              <w:contextualSpacing w:val="0"/>
              <w:rPr>
                <w:b/>
                <w:sz w:val="22"/>
              </w:rPr>
            </w:pPr>
            <w:r w:rsidRPr="0043565B">
              <w:rPr>
                <w:b/>
                <w:color w:val="0070AE" w:themeColor="accent2" w:themeTint="BF"/>
                <w:sz w:val="22"/>
              </w:rPr>
              <w:t>Rapidly growing space industry valued at US$350 billion</w:t>
            </w:r>
            <w:r w:rsidRPr="0043565B">
              <w:rPr>
                <w:sz w:val="22"/>
              </w:rPr>
              <w:t>,</w:t>
            </w:r>
            <w:r w:rsidRPr="0043565B">
              <w:rPr>
                <w:b/>
                <w:color w:val="005677" w:themeColor="accent1"/>
                <w:sz w:val="22"/>
              </w:rPr>
              <w:t xml:space="preserve"> </w:t>
            </w:r>
            <w:r w:rsidRPr="0043565B">
              <w:rPr>
                <w:sz w:val="22"/>
              </w:rPr>
              <w:t>with a wide range of downstream applications and spill-overs</w:t>
            </w:r>
            <w:r w:rsidRPr="0043565B">
              <w:rPr>
                <w:sz w:val="22"/>
                <w:vertAlign w:val="superscript"/>
              </w:rPr>
              <w:t>5</w:t>
            </w:r>
          </w:p>
        </w:tc>
      </w:tr>
      <w:tr w:rsidR="000C0512" w14:paraId="280B94B4" w14:textId="77777777" w:rsidTr="005C69A7">
        <w:trPr>
          <w:trHeight w:val="2938"/>
        </w:trPr>
        <w:tc>
          <w:tcPr>
            <w:tcW w:w="2125" w:type="dxa"/>
            <w:shd w:val="clear" w:color="auto" w:fill="006699"/>
            <w:vAlign w:val="center"/>
          </w:tcPr>
          <w:p w14:paraId="48F2FE5C" w14:textId="77777777" w:rsidR="000C0512" w:rsidRPr="00884A47" w:rsidRDefault="000C0512" w:rsidP="005C69A7">
            <w:pPr>
              <w:pStyle w:val="Heading4"/>
              <w:spacing w:after="120"/>
              <w:outlineLvl w:val="3"/>
              <w:rPr>
                <w:b/>
                <w:color w:val="FFFFFF" w:themeColor="background1"/>
              </w:rPr>
            </w:pPr>
            <w:r w:rsidRPr="00884A47">
              <w:rPr>
                <w:b/>
                <w:color w:val="FFFFFF" w:themeColor="background1"/>
              </w:rPr>
              <w:t>Opportunities</w:t>
            </w:r>
          </w:p>
          <w:p w14:paraId="1C179D09" w14:textId="77777777" w:rsidR="000C0512" w:rsidRPr="00884A47" w:rsidRDefault="000C0512" w:rsidP="005C69A7">
            <w:pPr>
              <w:pStyle w:val="Heading4"/>
              <w:spacing w:after="120"/>
              <w:outlineLvl w:val="3"/>
              <w:rPr>
                <w:b/>
                <w:color w:val="005677" w:themeColor="accent1"/>
              </w:rPr>
            </w:pPr>
          </w:p>
        </w:tc>
        <w:tc>
          <w:tcPr>
            <w:tcW w:w="7847" w:type="dxa"/>
            <w:vAlign w:val="center"/>
          </w:tcPr>
          <w:p w14:paraId="19BE3C9F" w14:textId="3E7FD7FF" w:rsidR="000C0512" w:rsidRPr="0043565B" w:rsidRDefault="000C0512" w:rsidP="005C69A7">
            <w:pPr>
              <w:pStyle w:val="ListParagraph"/>
              <w:numPr>
                <w:ilvl w:val="0"/>
                <w:numId w:val="5"/>
              </w:numPr>
              <w:spacing w:before="120"/>
              <w:ind w:left="425" w:hanging="357"/>
              <w:contextualSpacing w:val="0"/>
              <w:rPr>
                <w:b/>
                <w:sz w:val="22"/>
              </w:rPr>
            </w:pPr>
            <w:r w:rsidRPr="0043565B">
              <w:rPr>
                <w:b/>
                <w:color w:val="0070AE" w:themeColor="accent2" w:themeTint="BF"/>
                <w:sz w:val="22"/>
              </w:rPr>
              <w:t xml:space="preserve">Integrated place-based intelligence </w:t>
            </w:r>
            <w:r w:rsidRPr="0043565B">
              <w:rPr>
                <w:sz w:val="22"/>
              </w:rPr>
              <w:t>for city and regional pla</w:t>
            </w:r>
            <w:r w:rsidR="00405295">
              <w:rPr>
                <w:sz w:val="22"/>
              </w:rPr>
              <w:t>nning, development and decision-</w:t>
            </w:r>
            <w:r w:rsidRPr="0043565B">
              <w:rPr>
                <w:sz w:val="22"/>
              </w:rPr>
              <w:t>making, and environmental monitoring and management</w:t>
            </w:r>
          </w:p>
          <w:p w14:paraId="32285DA7" w14:textId="13D53205" w:rsidR="000C0512" w:rsidRPr="0043565B" w:rsidRDefault="000C0512" w:rsidP="005C69A7">
            <w:pPr>
              <w:pStyle w:val="ListParagraph"/>
              <w:numPr>
                <w:ilvl w:val="0"/>
                <w:numId w:val="5"/>
              </w:numPr>
              <w:ind w:left="425" w:hanging="357"/>
              <w:contextualSpacing w:val="0"/>
              <w:rPr>
                <w:sz w:val="22"/>
              </w:rPr>
            </w:pPr>
            <w:r w:rsidRPr="0043565B">
              <w:rPr>
                <w:b/>
                <w:color w:val="0070AE" w:themeColor="accent2" w:themeTint="BF"/>
                <w:sz w:val="22"/>
              </w:rPr>
              <w:t>New and emerging technologies</w:t>
            </w:r>
            <w:r w:rsidRPr="0043565B">
              <w:rPr>
                <w:color w:val="0070AE" w:themeColor="accent2" w:themeTint="BF"/>
                <w:sz w:val="22"/>
              </w:rPr>
              <w:t xml:space="preserve"> </w:t>
            </w:r>
            <w:r w:rsidRPr="0043565B">
              <w:rPr>
                <w:sz w:val="22"/>
              </w:rPr>
              <w:t>suc</w:t>
            </w:r>
            <w:r w:rsidR="005C69A7">
              <w:rPr>
                <w:sz w:val="22"/>
              </w:rPr>
              <w:t>h as the Internet of Things, 5G </w:t>
            </w:r>
            <w:r w:rsidRPr="0043565B">
              <w:rPr>
                <w:sz w:val="22"/>
              </w:rPr>
              <w:t xml:space="preserve">communications, </w:t>
            </w:r>
            <w:r w:rsidR="00884A47">
              <w:rPr>
                <w:sz w:val="22"/>
              </w:rPr>
              <w:t>artificial in</w:t>
            </w:r>
            <w:r w:rsidRPr="0043565B">
              <w:rPr>
                <w:sz w:val="22"/>
              </w:rPr>
              <w:t>telligence and digital twins</w:t>
            </w:r>
          </w:p>
          <w:p w14:paraId="50F026C1" w14:textId="123D0F22" w:rsidR="000C0512" w:rsidRPr="0043565B" w:rsidRDefault="000C0512" w:rsidP="005C69A7">
            <w:pPr>
              <w:pStyle w:val="ListParagraph"/>
              <w:numPr>
                <w:ilvl w:val="0"/>
                <w:numId w:val="5"/>
              </w:numPr>
              <w:ind w:left="425" w:hanging="357"/>
              <w:contextualSpacing w:val="0"/>
              <w:rPr>
                <w:sz w:val="22"/>
              </w:rPr>
            </w:pPr>
            <w:r w:rsidRPr="0043565B">
              <w:rPr>
                <w:b/>
                <w:color w:val="0070AE" w:themeColor="accent2" w:themeTint="BF"/>
                <w:sz w:val="22"/>
              </w:rPr>
              <w:t>Modernised space and spatial capabilities</w:t>
            </w:r>
            <w:r w:rsidRPr="0043565B">
              <w:rPr>
                <w:color w:val="0070AE" w:themeColor="accent2" w:themeTint="BF"/>
                <w:sz w:val="22"/>
              </w:rPr>
              <w:t xml:space="preserve"> </w:t>
            </w:r>
            <w:r w:rsidRPr="0043565B">
              <w:rPr>
                <w:sz w:val="22"/>
              </w:rPr>
              <w:t>such as 3D and 4D foundation spatial data, new earth observation technologies and precise positioning</w:t>
            </w:r>
          </w:p>
        </w:tc>
      </w:tr>
      <w:tr w:rsidR="000C0512" w14:paraId="0DF1B8B9" w14:textId="77777777" w:rsidTr="005C69A7">
        <w:trPr>
          <w:trHeight w:val="5540"/>
        </w:trPr>
        <w:tc>
          <w:tcPr>
            <w:tcW w:w="2125" w:type="dxa"/>
            <w:shd w:val="clear" w:color="auto" w:fill="006699"/>
            <w:vAlign w:val="center"/>
          </w:tcPr>
          <w:p w14:paraId="0D485BB0" w14:textId="77777777" w:rsidR="000C0512" w:rsidRPr="00884A47" w:rsidRDefault="000C0512" w:rsidP="005C69A7">
            <w:pPr>
              <w:pStyle w:val="Heading4"/>
              <w:spacing w:after="120"/>
              <w:outlineLvl w:val="3"/>
              <w:rPr>
                <w:b/>
                <w:color w:val="005677" w:themeColor="accent1"/>
              </w:rPr>
            </w:pPr>
            <w:r w:rsidRPr="00884A47">
              <w:rPr>
                <w:b/>
                <w:color w:val="FFFFFF" w:themeColor="background1"/>
              </w:rPr>
              <w:t>Challenges</w:t>
            </w:r>
            <w:r w:rsidRPr="00884A47">
              <w:rPr>
                <w:b/>
                <w:color w:val="005677" w:themeColor="accent1"/>
              </w:rPr>
              <w:t xml:space="preserve"> </w:t>
            </w:r>
          </w:p>
          <w:p w14:paraId="49CE2479" w14:textId="77777777" w:rsidR="000C0512" w:rsidRPr="00884A47" w:rsidRDefault="000C0512" w:rsidP="005C69A7">
            <w:pPr>
              <w:pStyle w:val="Heading4"/>
              <w:spacing w:after="120"/>
              <w:outlineLvl w:val="3"/>
              <w:rPr>
                <w:b/>
                <w:color w:val="005677" w:themeColor="accent1"/>
              </w:rPr>
            </w:pPr>
          </w:p>
        </w:tc>
        <w:tc>
          <w:tcPr>
            <w:tcW w:w="7847" w:type="dxa"/>
            <w:vAlign w:val="center"/>
          </w:tcPr>
          <w:p w14:paraId="6C7D5CC0" w14:textId="77777777" w:rsidR="000C0512" w:rsidRPr="0043565B" w:rsidRDefault="000C0512" w:rsidP="005C69A7">
            <w:pPr>
              <w:pStyle w:val="ListParagraph"/>
              <w:numPr>
                <w:ilvl w:val="0"/>
                <w:numId w:val="5"/>
              </w:numPr>
              <w:spacing w:before="120"/>
              <w:ind w:left="425" w:hanging="357"/>
              <w:contextualSpacing w:val="0"/>
              <w:rPr>
                <w:color w:val="000000" w:themeColor="text1"/>
                <w:sz w:val="22"/>
              </w:rPr>
            </w:pPr>
            <w:r w:rsidRPr="0043565B">
              <w:rPr>
                <w:b/>
                <w:color w:val="0070AE" w:themeColor="accent2" w:themeTint="BF"/>
                <w:sz w:val="22"/>
              </w:rPr>
              <w:t>By 2030, Australia and New Zealand’s populations</w:t>
            </w:r>
            <w:r w:rsidRPr="0043565B">
              <w:rPr>
                <w:color w:val="0070AE" w:themeColor="accent2" w:themeTint="BF"/>
                <w:sz w:val="22"/>
              </w:rPr>
              <w:t xml:space="preserve"> </w:t>
            </w:r>
            <w:r w:rsidRPr="0043565B">
              <w:rPr>
                <w:sz w:val="22"/>
              </w:rPr>
              <w:t>are projected to reach</w:t>
            </w:r>
            <w:r w:rsidRPr="0043565B">
              <w:rPr>
                <w:b/>
                <w:sz w:val="22"/>
              </w:rPr>
              <w:t xml:space="preserve"> </w:t>
            </w:r>
            <w:r w:rsidRPr="0043565B">
              <w:rPr>
                <w:b/>
                <w:color w:val="0070AE" w:themeColor="accent2" w:themeTint="BF"/>
                <w:sz w:val="22"/>
              </w:rPr>
              <w:t xml:space="preserve">29-31 million </w:t>
            </w:r>
            <w:r w:rsidRPr="00930190">
              <w:rPr>
                <w:sz w:val="22"/>
              </w:rPr>
              <w:t>and</w:t>
            </w:r>
            <w:r w:rsidRPr="0043565B">
              <w:rPr>
                <w:color w:val="0070AE" w:themeColor="accent2" w:themeTint="BF"/>
                <w:sz w:val="22"/>
              </w:rPr>
              <w:t xml:space="preserve"> </w:t>
            </w:r>
            <w:r w:rsidRPr="0043565B">
              <w:rPr>
                <w:b/>
                <w:color w:val="0070AE" w:themeColor="accent2" w:themeTint="BF"/>
                <w:sz w:val="22"/>
              </w:rPr>
              <w:t>5-6 million respectively</w:t>
            </w:r>
            <w:r w:rsidRPr="0043565B">
              <w:rPr>
                <w:sz w:val="22"/>
              </w:rPr>
              <w:t>, posing significant development and liveability challenges for our cities and regions</w:t>
            </w:r>
            <w:r w:rsidRPr="0043565B">
              <w:rPr>
                <w:sz w:val="22"/>
                <w:vertAlign w:val="superscript"/>
              </w:rPr>
              <w:t>6 7</w:t>
            </w:r>
          </w:p>
          <w:p w14:paraId="205C3028" w14:textId="678F763E" w:rsidR="000C0512" w:rsidRPr="0043565B" w:rsidRDefault="000C0512" w:rsidP="005C69A7">
            <w:pPr>
              <w:pStyle w:val="ListParagraph"/>
              <w:numPr>
                <w:ilvl w:val="0"/>
                <w:numId w:val="5"/>
              </w:numPr>
              <w:ind w:left="426" w:hanging="357"/>
              <w:contextualSpacing w:val="0"/>
              <w:rPr>
                <w:color w:val="000000" w:themeColor="text1"/>
                <w:sz w:val="22"/>
              </w:rPr>
            </w:pPr>
            <w:r w:rsidRPr="0043565B">
              <w:rPr>
                <w:b/>
                <w:color w:val="0070AE" w:themeColor="accent2" w:themeTint="BF"/>
                <w:sz w:val="22"/>
              </w:rPr>
              <w:t xml:space="preserve">A$40 billion and NZ$13 billion </w:t>
            </w:r>
            <w:r w:rsidR="003A1FE6">
              <w:rPr>
                <w:b/>
                <w:color w:val="0070AE" w:themeColor="accent2" w:themeTint="BF"/>
                <w:sz w:val="22"/>
              </w:rPr>
              <w:t xml:space="preserve">in infrastructure investment is </w:t>
            </w:r>
            <w:r w:rsidRPr="0043565B">
              <w:rPr>
                <w:b/>
                <w:color w:val="0070AE" w:themeColor="accent2" w:themeTint="BF"/>
                <w:sz w:val="22"/>
              </w:rPr>
              <w:t>required per year</w:t>
            </w:r>
            <w:r w:rsidRPr="0043565B">
              <w:rPr>
                <w:color w:val="0070AE" w:themeColor="accent2" w:themeTint="BF"/>
                <w:sz w:val="22"/>
              </w:rPr>
              <w:t xml:space="preserve"> </w:t>
            </w:r>
            <w:r w:rsidRPr="0043565B">
              <w:rPr>
                <w:color w:val="000000" w:themeColor="text1"/>
                <w:sz w:val="22"/>
              </w:rPr>
              <w:t>across Australia and New Zealand over the next decade to keep pace with demand</w:t>
            </w:r>
            <w:r w:rsidRPr="0043565B">
              <w:rPr>
                <w:color w:val="000000" w:themeColor="text1"/>
                <w:sz w:val="22"/>
                <w:vertAlign w:val="superscript"/>
              </w:rPr>
              <w:t>2 8</w:t>
            </w:r>
            <w:r w:rsidRPr="0043565B">
              <w:rPr>
                <w:color w:val="000000" w:themeColor="text1"/>
                <w:sz w:val="22"/>
              </w:rPr>
              <w:t xml:space="preserve"> </w:t>
            </w:r>
          </w:p>
          <w:p w14:paraId="0BB0327F" w14:textId="77777777" w:rsidR="000C0512" w:rsidRPr="0043565B" w:rsidRDefault="000C0512" w:rsidP="005C69A7">
            <w:pPr>
              <w:pStyle w:val="ListParagraph"/>
              <w:numPr>
                <w:ilvl w:val="0"/>
                <w:numId w:val="5"/>
              </w:numPr>
              <w:ind w:left="426" w:hanging="357"/>
              <w:contextualSpacing w:val="0"/>
              <w:rPr>
                <w:color w:val="000000" w:themeColor="text1"/>
                <w:sz w:val="22"/>
              </w:rPr>
            </w:pPr>
            <w:r w:rsidRPr="0043565B">
              <w:rPr>
                <w:color w:val="000000" w:themeColor="text1"/>
                <w:sz w:val="22"/>
              </w:rPr>
              <w:t xml:space="preserve">Without action, road and public transport congestion </w:t>
            </w:r>
            <w:r w:rsidRPr="00A22DEC">
              <w:rPr>
                <w:sz w:val="22"/>
              </w:rPr>
              <w:t>could</w:t>
            </w:r>
            <w:r w:rsidRPr="0043565B">
              <w:rPr>
                <w:color w:val="0070AE" w:themeColor="accent2" w:themeTint="BF"/>
                <w:sz w:val="22"/>
              </w:rPr>
              <w:t xml:space="preserve"> </w:t>
            </w:r>
            <w:r w:rsidRPr="0043565B">
              <w:rPr>
                <w:b/>
                <w:color w:val="0070AE" w:themeColor="accent2" w:themeTint="BF"/>
                <w:sz w:val="22"/>
              </w:rPr>
              <w:t>double</w:t>
            </w:r>
            <w:r w:rsidRPr="0043565B">
              <w:rPr>
                <w:color w:val="0070AE" w:themeColor="accent2" w:themeTint="BF"/>
                <w:sz w:val="22"/>
              </w:rPr>
              <w:t xml:space="preserve"> </w:t>
            </w:r>
            <w:r w:rsidRPr="0043565B">
              <w:rPr>
                <w:b/>
                <w:color w:val="0070AE" w:themeColor="accent2" w:themeTint="BF"/>
                <w:sz w:val="22"/>
              </w:rPr>
              <w:t>to cost ~A$40 billion by 2031</w:t>
            </w:r>
            <w:r w:rsidRPr="0043565B">
              <w:rPr>
                <w:color w:val="000000" w:themeColor="text1"/>
                <w:sz w:val="22"/>
                <w:vertAlign w:val="superscript"/>
              </w:rPr>
              <w:t>2</w:t>
            </w:r>
          </w:p>
          <w:p w14:paraId="018DDBF3" w14:textId="77777777" w:rsidR="000C0512" w:rsidRPr="0043565B" w:rsidRDefault="000C0512" w:rsidP="005C69A7">
            <w:pPr>
              <w:pStyle w:val="ListParagraph"/>
              <w:numPr>
                <w:ilvl w:val="0"/>
                <w:numId w:val="5"/>
              </w:numPr>
              <w:ind w:left="426" w:hanging="357"/>
              <w:contextualSpacing w:val="0"/>
              <w:rPr>
                <w:color w:val="000000" w:themeColor="text1"/>
                <w:sz w:val="22"/>
              </w:rPr>
            </w:pPr>
            <w:r w:rsidRPr="0043565B">
              <w:rPr>
                <w:b/>
                <w:color w:val="0070AE" w:themeColor="accent2" w:themeTint="BF"/>
                <w:sz w:val="22"/>
              </w:rPr>
              <w:t>Currently, Australia and New Zealand respectively emit 21 and 7.7 tonnes of CO</w:t>
            </w:r>
            <w:r w:rsidRPr="0043565B">
              <w:rPr>
                <w:b/>
                <w:color w:val="0070AE" w:themeColor="accent2" w:themeTint="BF"/>
                <w:sz w:val="22"/>
                <w:vertAlign w:val="subscript"/>
              </w:rPr>
              <w:t>2</w:t>
            </w:r>
            <w:r w:rsidRPr="0043565B">
              <w:rPr>
                <w:b/>
                <w:color w:val="0070AE" w:themeColor="accent2" w:themeTint="BF"/>
                <w:sz w:val="22"/>
              </w:rPr>
              <w:t xml:space="preserve"> per capita</w:t>
            </w:r>
            <w:r w:rsidRPr="00930190">
              <w:rPr>
                <w:sz w:val="22"/>
              </w:rPr>
              <w:t>.</w:t>
            </w:r>
            <w:r w:rsidRPr="0043565B">
              <w:rPr>
                <w:color w:val="0070AE" w:themeColor="accent2" w:themeTint="BF"/>
                <w:sz w:val="22"/>
              </w:rPr>
              <w:t xml:space="preserve"> </w:t>
            </w:r>
            <w:r w:rsidRPr="0043565B">
              <w:rPr>
                <w:color w:val="000000" w:themeColor="text1"/>
                <w:sz w:val="22"/>
              </w:rPr>
              <w:t>Both countries plan to reduce CO</w:t>
            </w:r>
            <w:r w:rsidRPr="0043565B">
              <w:rPr>
                <w:color w:val="000000" w:themeColor="text1"/>
                <w:sz w:val="22"/>
                <w:vertAlign w:val="subscript"/>
              </w:rPr>
              <w:t>2</w:t>
            </w:r>
            <w:r w:rsidRPr="0043565B">
              <w:rPr>
                <w:color w:val="000000" w:themeColor="text1"/>
                <w:sz w:val="22"/>
              </w:rPr>
              <w:t xml:space="preserve"> emissions significantly by 2030, requiring significant change across transportation, energy generation, land use, agriculture and energy-intensive industries</w:t>
            </w:r>
            <w:r w:rsidRPr="0043565B">
              <w:rPr>
                <w:color w:val="000000" w:themeColor="text1"/>
                <w:sz w:val="22"/>
                <w:vertAlign w:val="superscript"/>
              </w:rPr>
              <w:t>9</w:t>
            </w:r>
            <w:r w:rsidRPr="0043565B">
              <w:rPr>
                <w:color w:val="000000" w:themeColor="text1"/>
                <w:sz w:val="22"/>
              </w:rPr>
              <w:t xml:space="preserve"> </w:t>
            </w:r>
          </w:p>
          <w:p w14:paraId="045A0EAD" w14:textId="71C26681" w:rsidR="000C0512" w:rsidRPr="0043565B" w:rsidRDefault="000C0512" w:rsidP="005C69A7">
            <w:pPr>
              <w:pStyle w:val="ListParagraph"/>
              <w:numPr>
                <w:ilvl w:val="0"/>
                <w:numId w:val="5"/>
              </w:numPr>
              <w:ind w:left="426" w:hanging="357"/>
              <w:contextualSpacing w:val="0"/>
              <w:rPr>
                <w:color w:val="000000" w:themeColor="text1"/>
                <w:sz w:val="22"/>
              </w:rPr>
            </w:pPr>
            <w:r w:rsidRPr="0043565B">
              <w:rPr>
                <w:b/>
                <w:color w:val="0070AE" w:themeColor="accent2" w:themeTint="BF"/>
                <w:sz w:val="22"/>
              </w:rPr>
              <w:t>Global temperatures have risen by 1</w:t>
            </w:r>
            <w:r w:rsidRPr="0043565B">
              <w:rPr>
                <w:rFonts w:cs="Arial"/>
                <w:b/>
                <w:color w:val="0070AE" w:themeColor="accent2" w:themeTint="BF"/>
                <w:sz w:val="22"/>
              </w:rPr>
              <w:t>º</w:t>
            </w:r>
            <w:r w:rsidRPr="0043565B">
              <w:rPr>
                <w:b/>
                <w:color w:val="0070AE" w:themeColor="accent2" w:themeTint="BF"/>
                <w:sz w:val="22"/>
              </w:rPr>
              <w:t>C above pre-industrial levels.</w:t>
            </w:r>
            <w:r w:rsidRPr="0043565B">
              <w:rPr>
                <w:color w:val="0070AE" w:themeColor="accent2" w:themeTint="BF"/>
                <w:sz w:val="22"/>
              </w:rPr>
              <w:t xml:space="preserve"> </w:t>
            </w:r>
            <w:r w:rsidRPr="0043565B">
              <w:rPr>
                <w:color w:val="000000" w:themeColor="text1"/>
                <w:sz w:val="22"/>
              </w:rPr>
              <w:t>Rising temperatures will require increased extreme weather and climate change mitigation</w:t>
            </w:r>
            <w:r w:rsidRPr="0043565B">
              <w:rPr>
                <w:color w:val="000000" w:themeColor="text1"/>
                <w:sz w:val="22"/>
                <w:vertAlign w:val="superscript"/>
              </w:rPr>
              <w:t>10</w:t>
            </w:r>
          </w:p>
        </w:tc>
      </w:tr>
    </w:tbl>
    <w:p w14:paraId="00C3AA98" w14:textId="77777777" w:rsidR="000C0512" w:rsidRDefault="000C0512" w:rsidP="000C0512"/>
    <w:p w14:paraId="6D744C0D" w14:textId="77777777" w:rsidR="000C0512" w:rsidRPr="000C0512" w:rsidRDefault="000C0512" w:rsidP="000C0512"/>
    <w:p w14:paraId="7572ECF4" w14:textId="77777777" w:rsidR="00CA086C" w:rsidRDefault="00CA086C" w:rsidP="00CA086C">
      <w:pPr>
        <w:ind w:left="69"/>
        <w:rPr>
          <w:b/>
          <w:color w:val="000000" w:themeColor="text1"/>
        </w:rPr>
      </w:pPr>
    </w:p>
    <w:p w14:paraId="59AB23C7" w14:textId="77777777" w:rsidR="00C428FA" w:rsidRDefault="00C428FA" w:rsidP="00CA086C">
      <w:pPr>
        <w:ind w:left="69"/>
        <w:rPr>
          <w:b/>
          <w:color w:val="000000" w:themeColor="text1"/>
        </w:rPr>
      </w:pPr>
    </w:p>
    <w:p w14:paraId="15887604" w14:textId="77777777" w:rsidR="00C428FA" w:rsidRDefault="00C428FA" w:rsidP="00CA086C">
      <w:pPr>
        <w:ind w:left="69"/>
        <w:rPr>
          <w:b/>
          <w:color w:val="000000" w:themeColor="text1"/>
        </w:rPr>
      </w:pPr>
    </w:p>
    <w:p w14:paraId="2F24406F" w14:textId="3F9D3AB5" w:rsidR="00C428FA" w:rsidRDefault="00542478" w:rsidP="00CA086C">
      <w:pPr>
        <w:ind w:left="69"/>
        <w:rPr>
          <w:b/>
          <w:color w:val="000000" w:themeColor="text1"/>
        </w:rPr>
      </w:pPr>
      <w:r>
        <w:rPr>
          <w:b/>
          <w:noProof/>
          <w:color w:val="000000" w:themeColor="text1"/>
          <w:lang w:eastAsia="en-AU"/>
        </w:rPr>
        <w:drawing>
          <wp:anchor distT="0" distB="0" distL="114300" distR="114300" simplePos="0" relativeHeight="251660288" behindDoc="0" locked="0" layoutInCell="1" allowOverlap="1" wp14:anchorId="34CFD04E" wp14:editId="2668BDA4">
            <wp:simplePos x="0" y="0"/>
            <wp:positionH relativeFrom="margin">
              <wp:align>center</wp:align>
            </wp:positionH>
            <wp:positionV relativeFrom="paragraph">
              <wp:posOffset>0</wp:posOffset>
            </wp:positionV>
            <wp:extent cx="6391275" cy="305562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 aerial image.JPG"/>
                    <pic:cNvPicPr/>
                  </pic:nvPicPr>
                  <pic:blipFill>
                    <a:blip r:embed="rId17">
                      <a:extLst>
                        <a:ext uri="{28A0092B-C50C-407E-A947-70E740481C1C}">
                          <a14:useLocalDpi xmlns:a14="http://schemas.microsoft.com/office/drawing/2010/main" val="0"/>
                        </a:ext>
                      </a:extLst>
                    </a:blip>
                    <a:stretch>
                      <a:fillRect/>
                    </a:stretch>
                  </pic:blipFill>
                  <pic:spPr>
                    <a:xfrm>
                      <a:off x="0" y="0"/>
                      <a:ext cx="6391275" cy="3055620"/>
                    </a:xfrm>
                    <a:prstGeom prst="rect">
                      <a:avLst/>
                    </a:prstGeom>
                  </pic:spPr>
                </pic:pic>
              </a:graphicData>
            </a:graphic>
            <wp14:sizeRelH relativeFrom="page">
              <wp14:pctWidth>0</wp14:pctWidth>
            </wp14:sizeRelH>
            <wp14:sizeRelV relativeFrom="page">
              <wp14:pctHeight>0</wp14:pctHeight>
            </wp14:sizeRelV>
          </wp:anchor>
        </w:drawing>
      </w:r>
    </w:p>
    <w:p w14:paraId="63EEBCCD" w14:textId="778879DF" w:rsidR="00CA086C" w:rsidRPr="00F651CC" w:rsidRDefault="00CA086C" w:rsidP="00CA086C">
      <w:pPr>
        <w:pStyle w:val="Heading2"/>
        <w:rPr>
          <w:color w:val="339933"/>
        </w:rPr>
      </w:pPr>
      <w:r w:rsidRPr="00F651CC">
        <w:rPr>
          <w:color w:val="339933"/>
        </w:rPr>
        <w:t>Spatial sector priority areas</w:t>
      </w:r>
    </w:p>
    <w:p w14:paraId="54F945E0" w14:textId="3669F7BC" w:rsidR="00CA086C" w:rsidRPr="0043565B" w:rsidRDefault="00CA086C" w:rsidP="00CA086C">
      <w:pPr>
        <w:rPr>
          <w:color w:val="0070AE" w:themeColor="accent2" w:themeTint="BF"/>
          <w:sz w:val="22"/>
        </w:rPr>
      </w:pPr>
      <w:r w:rsidRPr="0043565B">
        <w:rPr>
          <w:color w:val="000000" w:themeColor="text1"/>
          <w:sz w:val="22"/>
        </w:rPr>
        <w:t xml:space="preserve">ANZLIC’s consultation with key stakeholders identified the following spatial-related challenges across Australia and New Zealand. </w:t>
      </w:r>
    </w:p>
    <w:p w14:paraId="79FA7851" w14:textId="7757EB21" w:rsidR="00CA086C" w:rsidRPr="00930190" w:rsidRDefault="00CA086C" w:rsidP="00CA086C">
      <w:pPr>
        <w:rPr>
          <w:b/>
          <w:color w:val="0070AE" w:themeColor="accent2" w:themeTint="BF"/>
          <w:sz w:val="24"/>
        </w:rPr>
      </w:pPr>
      <w:r w:rsidRPr="00930190">
        <w:rPr>
          <w:b/>
          <w:color w:val="0070AE" w:themeColor="accent2" w:themeTint="BF"/>
          <w:sz w:val="24"/>
        </w:rPr>
        <w:t>Spatial skills and capability</w:t>
      </w:r>
    </w:p>
    <w:p w14:paraId="26B4FB65" w14:textId="31EC38FD" w:rsidR="00897C9C" w:rsidRPr="0043565B" w:rsidRDefault="00897C9C" w:rsidP="00065C0E">
      <w:pPr>
        <w:pStyle w:val="ListParagraph"/>
        <w:numPr>
          <w:ilvl w:val="0"/>
          <w:numId w:val="13"/>
        </w:numPr>
        <w:ind w:left="714" w:hanging="357"/>
        <w:contextualSpacing w:val="0"/>
        <w:rPr>
          <w:sz w:val="22"/>
        </w:rPr>
      </w:pPr>
      <w:r w:rsidRPr="0043565B">
        <w:rPr>
          <w:sz w:val="22"/>
        </w:rPr>
        <w:t>Growing the supply of spatial skills and research capability to enhance the spatial sector’s value and improve linkages with other sectors.</w:t>
      </w:r>
    </w:p>
    <w:p w14:paraId="02E43FD0" w14:textId="68E7017D" w:rsidR="00CA086C" w:rsidRPr="00930190" w:rsidRDefault="00CA086C" w:rsidP="00CA086C">
      <w:pPr>
        <w:rPr>
          <w:b/>
          <w:color w:val="0070AE" w:themeColor="accent2" w:themeTint="BF"/>
          <w:sz w:val="24"/>
        </w:rPr>
      </w:pPr>
      <w:r w:rsidRPr="00930190">
        <w:rPr>
          <w:b/>
          <w:color w:val="0070AE" w:themeColor="accent2" w:themeTint="BF"/>
          <w:sz w:val="24"/>
        </w:rPr>
        <w:t>Spatial data standards</w:t>
      </w:r>
    </w:p>
    <w:p w14:paraId="0A06CE7C" w14:textId="7B830B7F" w:rsidR="00CA086C" w:rsidRPr="003A1FE6" w:rsidRDefault="00315E9A" w:rsidP="00065C0E">
      <w:pPr>
        <w:pStyle w:val="ListParagraph"/>
        <w:numPr>
          <w:ilvl w:val="0"/>
          <w:numId w:val="13"/>
        </w:numPr>
        <w:ind w:left="714" w:hanging="357"/>
        <w:contextualSpacing w:val="0"/>
        <w:rPr>
          <w:sz w:val="22"/>
        </w:rPr>
      </w:pPr>
      <w:r w:rsidRPr="0043565B">
        <w:rPr>
          <w:sz w:val="22"/>
        </w:rPr>
        <w:t>I</w:t>
      </w:r>
      <w:r w:rsidR="00897C9C" w:rsidRPr="0043565B">
        <w:rPr>
          <w:sz w:val="22"/>
        </w:rPr>
        <w:t xml:space="preserve">ncreasing </w:t>
      </w:r>
      <w:r w:rsidR="00CA086C" w:rsidRPr="0043565B">
        <w:rPr>
          <w:sz w:val="22"/>
        </w:rPr>
        <w:t>the use of open</w:t>
      </w:r>
      <w:r w:rsidR="00897C9C" w:rsidRPr="0043565B">
        <w:rPr>
          <w:sz w:val="22"/>
        </w:rPr>
        <w:t xml:space="preserve"> </w:t>
      </w:r>
      <w:r w:rsidR="00897C9C" w:rsidRPr="003A1FE6">
        <w:rPr>
          <w:sz w:val="22"/>
        </w:rPr>
        <w:t>spatial data standards</w:t>
      </w:r>
      <w:r w:rsidR="00CA086C" w:rsidRPr="003A1FE6">
        <w:rPr>
          <w:sz w:val="22"/>
        </w:rPr>
        <w:t xml:space="preserve"> and the creation of accurate 3D and 4D foundational spatial data.</w:t>
      </w:r>
    </w:p>
    <w:p w14:paraId="312031EA" w14:textId="18D2D0C4" w:rsidR="00CA086C" w:rsidRPr="003A1FE6" w:rsidRDefault="00CA086C" w:rsidP="00B57866">
      <w:pPr>
        <w:rPr>
          <w:b/>
          <w:color w:val="0070AE" w:themeColor="accent2" w:themeTint="BF"/>
          <w:sz w:val="24"/>
        </w:rPr>
      </w:pPr>
      <w:r w:rsidRPr="003A1FE6">
        <w:rPr>
          <w:b/>
          <w:color w:val="0070AE" w:themeColor="accent2" w:themeTint="BF"/>
          <w:sz w:val="24"/>
        </w:rPr>
        <w:t xml:space="preserve">Space and satellite capabilities </w:t>
      </w:r>
    </w:p>
    <w:p w14:paraId="7CCA6663" w14:textId="03386CFF" w:rsidR="00CA086C" w:rsidRPr="00A22DEC" w:rsidRDefault="00897C9C" w:rsidP="00A22DEC">
      <w:pPr>
        <w:pStyle w:val="ListParagraph"/>
        <w:numPr>
          <w:ilvl w:val="0"/>
          <w:numId w:val="13"/>
        </w:numPr>
        <w:rPr>
          <w:sz w:val="22"/>
        </w:rPr>
      </w:pPr>
      <w:r w:rsidRPr="003A1FE6">
        <w:rPr>
          <w:sz w:val="22"/>
        </w:rPr>
        <w:t>Growing space and satellite capabilities</w:t>
      </w:r>
      <w:r w:rsidR="00EF0E7E" w:rsidRPr="003A1FE6">
        <w:rPr>
          <w:sz w:val="22"/>
        </w:rPr>
        <w:t xml:space="preserve"> </w:t>
      </w:r>
      <w:r w:rsidR="00A22DEC">
        <w:rPr>
          <w:sz w:val="22"/>
        </w:rPr>
        <w:t>to provide new sources and types of spatial information</w:t>
      </w:r>
      <w:r w:rsidRPr="00A22DEC">
        <w:rPr>
          <w:sz w:val="22"/>
        </w:rPr>
        <w:t xml:space="preserve"> (particularly earth observation and positioning data) </w:t>
      </w:r>
      <w:r w:rsidR="00A22DEC">
        <w:rPr>
          <w:sz w:val="22"/>
        </w:rPr>
        <w:t>for</w:t>
      </w:r>
      <w:r w:rsidR="00EF0E7E" w:rsidRPr="00A22DEC">
        <w:rPr>
          <w:sz w:val="22"/>
        </w:rPr>
        <w:t xml:space="preserve"> </w:t>
      </w:r>
      <w:r w:rsidRPr="00A22DEC">
        <w:rPr>
          <w:sz w:val="22"/>
        </w:rPr>
        <w:t>a wide range of downstream applications</w:t>
      </w:r>
      <w:r w:rsidR="00CA086C" w:rsidRPr="00A22DEC">
        <w:rPr>
          <w:sz w:val="22"/>
        </w:rPr>
        <w:t>.</w:t>
      </w:r>
      <w:r w:rsidR="00A22DEC">
        <w:rPr>
          <w:sz w:val="22"/>
        </w:rPr>
        <w:t xml:space="preserve"> </w:t>
      </w:r>
    </w:p>
    <w:p w14:paraId="3D8E2C62" w14:textId="124971F6" w:rsidR="00CA086C" w:rsidRPr="003A1FE6" w:rsidRDefault="00CA086C" w:rsidP="00C428FA">
      <w:pPr>
        <w:rPr>
          <w:b/>
          <w:color w:val="0070AE" w:themeColor="accent2" w:themeTint="BF"/>
          <w:sz w:val="24"/>
        </w:rPr>
      </w:pPr>
      <w:r w:rsidRPr="003A1FE6">
        <w:rPr>
          <w:b/>
          <w:color w:val="0070AE" w:themeColor="accent2" w:themeTint="BF"/>
          <w:sz w:val="24"/>
        </w:rPr>
        <w:t>Public data landscape</w:t>
      </w:r>
    </w:p>
    <w:p w14:paraId="240D2090" w14:textId="2CAE4D68" w:rsidR="00B57866" w:rsidRPr="003A1FE6" w:rsidRDefault="00B57866" w:rsidP="00065C0E">
      <w:pPr>
        <w:pStyle w:val="ListParagraph"/>
        <w:numPr>
          <w:ilvl w:val="0"/>
          <w:numId w:val="13"/>
        </w:numPr>
        <w:rPr>
          <w:sz w:val="22"/>
        </w:rPr>
      </w:pPr>
      <w:r w:rsidRPr="003A1FE6">
        <w:rPr>
          <w:sz w:val="22"/>
        </w:rPr>
        <w:t xml:space="preserve">Responding to a changing public data landscape in regards to data sharing, privacy and security, and demand for government to access and use data more to improve policy and services. </w:t>
      </w:r>
    </w:p>
    <w:p w14:paraId="61284A24" w14:textId="2635FB22" w:rsidR="00B57866" w:rsidRPr="00930190" w:rsidRDefault="00B57866" w:rsidP="00C428FA">
      <w:pPr>
        <w:rPr>
          <w:b/>
          <w:color w:val="0070AE" w:themeColor="accent2" w:themeTint="BF"/>
          <w:sz w:val="24"/>
        </w:rPr>
      </w:pPr>
      <w:r w:rsidRPr="00930190">
        <w:rPr>
          <w:b/>
          <w:color w:val="0070AE" w:themeColor="accent2" w:themeTint="BF"/>
          <w:sz w:val="24"/>
        </w:rPr>
        <w:t>Collaboration and engagement</w:t>
      </w:r>
    </w:p>
    <w:p w14:paraId="743CD18E" w14:textId="1AB01082" w:rsidR="00B57866" w:rsidRPr="0043565B" w:rsidRDefault="00B57866" w:rsidP="00065C0E">
      <w:pPr>
        <w:pStyle w:val="ListParagraph"/>
        <w:numPr>
          <w:ilvl w:val="0"/>
          <w:numId w:val="13"/>
        </w:numPr>
        <w:rPr>
          <w:color w:val="005677" w:themeColor="accent1"/>
          <w:sz w:val="22"/>
        </w:rPr>
      </w:pPr>
      <w:r w:rsidRPr="0043565B">
        <w:rPr>
          <w:sz w:val="22"/>
        </w:rPr>
        <w:t>Increasing collaboration and engagement across a broader range of government, industry and research stakeholders to promote value</w:t>
      </w:r>
      <w:r w:rsidR="00E724A1" w:rsidRPr="0043565B">
        <w:rPr>
          <w:sz w:val="22"/>
        </w:rPr>
        <w:t>,</w:t>
      </w:r>
      <w:r w:rsidRPr="0043565B">
        <w:rPr>
          <w:sz w:val="22"/>
        </w:rPr>
        <w:t xml:space="preserve"> and data integration.</w:t>
      </w:r>
    </w:p>
    <w:p w14:paraId="56F9F2C1" w14:textId="77777777" w:rsidR="001B1CB6" w:rsidRDefault="001B1CB6" w:rsidP="001B1CB6">
      <w:pPr>
        <w:pStyle w:val="ListParagraph"/>
        <w:ind w:left="720"/>
        <w:rPr>
          <w:color w:val="005677" w:themeColor="accent1"/>
        </w:rPr>
      </w:pPr>
    </w:p>
    <w:p w14:paraId="027CA850" w14:textId="77777777" w:rsidR="004F1832" w:rsidRDefault="004F1832" w:rsidP="001B1CB6">
      <w:pPr>
        <w:pStyle w:val="ListParagraph"/>
        <w:ind w:left="720"/>
        <w:rPr>
          <w:color w:val="005677" w:themeColor="accent1"/>
        </w:rPr>
      </w:pPr>
    </w:p>
    <w:p w14:paraId="0351C02F" w14:textId="77777777" w:rsidR="004F1832" w:rsidRDefault="004F1832" w:rsidP="001B1CB6">
      <w:pPr>
        <w:pStyle w:val="ListParagraph"/>
        <w:ind w:left="720"/>
        <w:rPr>
          <w:color w:val="005677" w:themeColor="accent1"/>
        </w:rPr>
      </w:pPr>
    </w:p>
    <w:p w14:paraId="45912370" w14:textId="35EE1CDB" w:rsidR="000072BD" w:rsidRPr="00542478" w:rsidRDefault="004B4ECE" w:rsidP="00542478">
      <w:pPr>
        <w:pStyle w:val="Heading2"/>
        <w:rPr>
          <w:color w:val="339933"/>
        </w:rPr>
      </w:pPr>
      <w:r w:rsidRPr="00F651CC">
        <w:rPr>
          <w:color w:val="339933"/>
        </w:rPr>
        <w:t>ANZLIC’s 2020-24 strategic priorities</w:t>
      </w:r>
    </w:p>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83"/>
        <w:gridCol w:w="7514"/>
      </w:tblGrid>
      <w:tr w:rsidR="00A22570" w14:paraId="0A866D59" w14:textId="77777777" w:rsidTr="00572033">
        <w:trPr>
          <w:trHeight w:val="2778"/>
          <w:jc w:val="center"/>
        </w:trPr>
        <w:tc>
          <w:tcPr>
            <w:tcW w:w="2126" w:type="dxa"/>
            <w:shd w:val="clear" w:color="auto" w:fill="006699"/>
            <w:vAlign w:val="center"/>
          </w:tcPr>
          <w:p w14:paraId="0541C56D" w14:textId="6ACAB945" w:rsidR="00A22570" w:rsidRPr="00F41459" w:rsidRDefault="00A22570" w:rsidP="00F41459">
            <w:pPr>
              <w:spacing w:after="0"/>
              <w:rPr>
                <w:color w:val="FFFFFF" w:themeColor="background1"/>
                <w:sz w:val="22"/>
                <w:szCs w:val="18"/>
              </w:rPr>
            </w:pPr>
            <w:r w:rsidRPr="0043565B">
              <w:rPr>
                <w:b/>
                <w:bCs/>
                <w:color w:val="FFFFFF" w:themeColor="background1"/>
                <w:sz w:val="24"/>
                <w:szCs w:val="18"/>
              </w:rPr>
              <w:t>Modernis</w:t>
            </w:r>
            <w:r w:rsidR="00B665AA" w:rsidRPr="0043565B">
              <w:rPr>
                <w:b/>
                <w:bCs/>
                <w:color w:val="FFFFFF" w:themeColor="background1"/>
                <w:sz w:val="24"/>
                <w:szCs w:val="18"/>
              </w:rPr>
              <w:t>e</w:t>
            </w:r>
            <w:r w:rsidRPr="0043565B">
              <w:rPr>
                <w:b/>
                <w:bCs/>
                <w:color w:val="FFFFFF" w:themeColor="background1"/>
                <w:sz w:val="24"/>
                <w:szCs w:val="18"/>
              </w:rPr>
              <w:t xml:space="preserve"> </w:t>
            </w:r>
            <w:r w:rsidR="00A52FDC" w:rsidRPr="0043565B">
              <w:rPr>
                <w:b/>
                <w:bCs/>
                <w:color w:val="FFFFFF" w:themeColor="background1"/>
                <w:sz w:val="24"/>
                <w:szCs w:val="18"/>
              </w:rPr>
              <w:t xml:space="preserve">foundation </w:t>
            </w:r>
            <w:r w:rsidRPr="0043565B">
              <w:rPr>
                <w:b/>
                <w:bCs/>
                <w:color w:val="FFFFFF" w:themeColor="background1"/>
                <w:sz w:val="24"/>
                <w:szCs w:val="18"/>
              </w:rPr>
              <w:t>spatial information</w:t>
            </w:r>
            <w:r w:rsidR="00B15FBC" w:rsidRPr="0043565B">
              <w:rPr>
                <w:b/>
                <w:bCs/>
                <w:color w:val="FFFFFF" w:themeColor="background1"/>
                <w:sz w:val="24"/>
                <w:szCs w:val="18"/>
              </w:rPr>
              <w:t xml:space="preserve"> and data</w:t>
            </w:r>
          </w:p>
        </w:tc>
        <w:tc>
          <w:tcPr>
            <w:tcW w:w="283" w:type="dxa"/>
            <w:tcBorders>
              <w:right w:val="single" w:sz="4" w:space="0" w:color="auto"/>
            </w:tcBorders>
            <w:vAlign w:val="center"/>
          </w:tcPr>
          <w:p w14:paraId="473FA34A" w14:textId="77777777" w:rsidR="00A22570" w:rsidRPr="00E724A1" w:rsidRDefault="00A22570" w:rsidP="00A22570">
            <w:pPr>
              <w:spacing w:after="0"/>
              <w:jc w:val="center"/>
              <w:rPr>
                <w:szCs w:val="6"/>
              </w:rPr>
            </w:pPr>
          </w:p>
        </w:tc>
        <w:tc>
          <w:tcPr>
            <w:tcW w:w="75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0601C7" w14:textId="33089773" w:rsidR="00F851DA" w:rsidRPr="00F851DA" w:rsidRDefault="00A22570" w:rsidP="005C69A7">
            <w:pPr>
              <w:pStyle w:val="ListParagraph"/>
              <w:numPr>
                <w:ilvl w:val="0"/>
                <w:numId w:val="8"/>
              </w:numPr>
              <w:spacing w:before="120"/>
              <w:ind w:left="357" w:hanging="357"/>
              <w:contextualSpacing w:val="0"/>
              <w:rPr>
                <w:sz w:val="22"/>
                <w:szCs w:val="18"/>
              </w:rPr>
            </w:pPr>
            <w:r w:rsidRPr="0043565B">
              <w:rPr>
                <w:sz w:val="22"/>
                <w:szCs w:val="18"/>
              </w:rPr>
              <w:t>Modernis</w:t>
            </w:r>
            <w:r w:rsidR="00B665AA" w:rsidRPr="0043565B">
              <w:rPr>
                <w:sz w:val="22"/>
                <w:szCs w:val="18"/>
              </w:rPr>
              <w:t>e</w:t>
            </w:r>
            <w:r w:rsidRPr="0043565B">
              <w:rPr>
                <w:sz w:val="22"/>
                <w:szCs w:val="18"/>
              </w:rPr>
              <w:t xml:space="preserve"> </w:t>
            </w:r>
            <w:r w:rsidR="00A52FDC" w:rsidRPr="0043565B">
              <w:rPr>
                <w:sz w:val="22"/>
                <w:szCs w:val="18"/>
              </w:rPr>
              <w:t xml:space="preserve">foundation </w:t>
            </w:r>
            <w:r w:rsidRPr="0043565B">
              <w:rPr>
                <w:sz w:val="22"/>
                <w:szCs w:val="18"/>
              </w:rPr>
              <w:t xml:space="preserve">spatial </w:t>
            </w:r>
            <w:r w:rsidR="00A52FDC" w:rsidRPr="0043565B">
              <w:rPr>
                <w:sz w:val="22"/>
                <w:szCs w:val="18"/>
              </w:rPr>
              <w:t>data</w:t>
            </w:r>
            <w:r w:rsidRPr="0043565B">
              <w:rPr>
                <w:sz w:val="22"/>
                <w:szCs w:val="18"/>
              </w:rPr>
              <w:t xml:space="preserve"> to 3D and 4D (time) </w:t>
            </w:r>
            <w:r w:rsidR="006225D0" w:rsidRPr="0043565B">
              <w:rPr>
                <w:sz w:val="22"/>
                <w:szCs w:val="18"/>
              </w:rPr>
              <w:t xml:space="preserve">digital </w:t>
            </w:r>
            <w:r w:rsidRPr="0043565B">
              <w:rPr>
                <w:sz w:val="22"/>
                <w:szCs w:val="18"/>
              </w:rPr>
              <w:t>formats</w:t>
            </w:r>
            <w:r w:rsidR="00A427F0" w:rsidRPr="0043565B">
              <w:rPr>
                <w:sz w:val="22"/>
                <w:szCs w:val="18"/>
              </w:rPr>
              <w:t>.</w:t>
            </w:r>
          </w:p>
          <w:p w14:paraId="2B84329D" w14:textId="0EF9E77A" w:rsidR="00A427F0" w:rsidRPr="0043565B" w:rsidRDefault="00A427F0" w:rsidP="005C69A7">
            <w:pPr>
              <w:pStyle w:val="ListParagraph"/>
              <w:numPr>
                <w:ilvl w:val="0"/>
                <w:numId w:val="8"/>
              </w:numPr>
              <w:ind w:left="357" w:hanging="357"/>
              <w:contextualSpacing w:val="0"/>
              <w:rPr>
                <w:sz w:val="22"/>
                <w:szCs w:val="18"/>
              </w:rPr>
            </w:pPr>
            <w:r w:rsidRPr="0043565B">
              <w:rPr>
                <w:sz w:val="22"/>
                <w:szCs w:val="18"/>
              </w:rPr>
              <w:t>S</w:t>
            </w:r>
            <w:r w:rsidR="00A22570" w:rsidRPr="0043565B">
              <w:rPr>
                <w:sz w:val="22"/>
                <w:szCs w:val="18"/>
              </w:rPr>
              <w:t>treamlin</w:t>
            </w:r>
            <w:r w:rsidR="00B665AA" w:rsidRPr="0043565B">
              <w:rPr>
                <w:sz w:val="22"/>
                <w:szCs w:val="18"/>
              </w:rPr>
              <w:t>e</w:t>
            </w:r>
            <w:r w:rsidR="00A22570" w:rsidRPr="0043565B">
              <w:rPr>
                <w:sz w:val="22"/>
                <w:szCs w:val="18"/>
              </w:rPr>
              <w:t xml:space="preserve"> processes to </w:t>
            </w:r>
            <w:r w:rsidR="006225D0" w:rsidRPr="0043565B">
              <w:rPr>
                <w:sz w:val="22"/>
                <w:szCs w:val="18"/>
              </w:rPr>
              <w:t>collect and supply</w:t>
            </w:r>
            <w:r w:rsidR="00A22570" w:rsidRPr="0043565B">
              <w:rPr>
                <w:sz w:val="22"/>
                <w:szCs w:val="18"/>
              </w:rPr>
              <w:t xml:space="preserve"> spatial </w:t>
            </w:r>
            <w:r w:rsidR="00A52FDC" w:rsidRPr="0043565B">
              <w:rPr>
                <w:sz w:val="22"/>
                <w:szCs w:val="18"/>
              </w:rPr>
              <w:t>data</w:t>
            </w:r>
            <w:r w:rsidR="00A22570" w:rsidRPr="0043565B">
              <w:rPr>
                <w:sz w:val="22"/>
                <w:szCs w:val="18"/>
              </w:rPr>
              <w:t xml:space="preserve"> to users</w:t>
            </w:r>
            <w:r w:rsidR="0070228E" w:rsidRPr="0043565B">
              <w:rPr>
                <w:sz w:val="22"/>
                <w:szCs w:val="18"/>
              </w:rPr>
              <w:t xml:space="preserve"> across the full data lifecycle: capture, procure, access, standardis</w:t>
            </w:r>
            <w:r w:rsidR="006225D0" w:rsidRPr="0043565B">
              <w:rPr>
                <w:sz w:val="22"/>
                <w:szCs w:val="18"/>
              </w:rPr>
              <w:t>e, maintain</w:t>
            </w:r>
            <w:r w:rsidR="0070228E" w:rsidRPr="0043565B">
              <w:rPr>
                <w:sz w:val="22"/>
                <w:szCs w:val="18"/>
              </w:rPr>
              <w:t xml:space="preserve"> and value-add</w:t>
            </w:r>
            <w:r w:rsidRPr="0043565B">
              <w:rPr>
                <w:sz w:val="22"/>
                <w:szCs w:val="18"/>
              </w:rPr>
              <w:t>.</w:t>
            </w:r>
          </w:p>
          <w:p w14:paraId="25DE8CAF" w14:textId="4413F6DC" w:rsidR="009307D8" w:rsidRPr="0043565B" w:rsidRDefault="00B57866" w:rsidP="005C69A7">
            <w:pPr>
              <w:pStyle w:val="ListParagraph"/>
              <w:numPr>
                <w:ilvl w:val="0"/>
                <w:numId w:val="8"/>
              </w:numPr>
              <w:ind w:left="357" w:hanging="357"/>
              <w:contextualSpacing w:val="0"/>
              <w:rPr>
                <w:sz w:val="22"/>
                <w:szCs w:val="18"/>
              </w:rPr>
            </w:pPr>
            <w:r w:rsidRPr="0043565B">
              <w:rPr>
                <w:sz w:val="22"/>
                <w:szCs w:val="18"/>
              </w:rPr>
              <w:t xml:space="preserve">Enable better data management practices, focusing on governance, privacy and cyber security, discoverability and accessibility. </w:t>
            </w:r>
          </w:p>
          <w:p w14:paraId="6F682CAA" w14:textId="73BEA268" w:rsidR="00C84F9B" w:rsidRPr="00E724A1" w:rsidRDefault="00B665AA" w:rsidP="005C69A7">
            <w:pPr>
              <w:pStyle w:val="ListParagraph"/>
              <w:numPr>
                <w:ilvl w:val="0"/>
                <w:numId w:val="8"/>
              </w:numPr>
              <w:ind w:left="357" w:hanging="357"/>
              <w:contextualSpacing w:val="0"/>
              <w:rPr>
                <w:szCs w:val="18"/>
              </w:rPr>
            </w:pPr>
            <w:r w:rsidRPr="0043565B">
              <w:rPr>
                <w:sz w:val="22"/>
                <w:szCs w:val="18"/>
              </w:rPr>
              <w:t>Drive</w:t>
            </w:r>
            <w:r w:rsidR="00A427F0" w:rsidRPr="0043565B">
              <w:rPr>
                <w:sz w:val="22"/>
                <w:szCs w:val="18"/>
              </w:rPr>
              <w:t xml:space="preserve"> de</w:t>
            </w:r>
            <w:r w:rsidR="007857EF" w:rsidRPr="0043565B">
              <w:rPr>
                <w:sz w:val="22"/>
                <w:szCs w:val="18"/>
              </w:rPr>
              <w:t>velopment and adoption of open</w:t>
            </w:r>
            <w:r w:rsidR="00A427F0" w:rsidRPr="0043565B">
              <w:rPr>
                <w:sz w:val="22"/>
                <w:szCs w:val="18"/>
              </w:rPr>
              <w:t xml:space="preserve"> spatial data standards</w:t>
            </w:r>
            <w:r w:rsidR="00AE0914" w:rsidRPr="0043565B">
              <w:rPr>
                <w:sz w:val="22"/>
                <w:szCs w:val="18"/>
              </w:rPr>
              <w:t xml:space="preserve"> that align with and inform international standards</w:t>
            </w:r>
            <w:r w:rsidR="00A427F0" w:rsidRPr="0043565B">
              <w:rPr>
                <w:sz w:val="22"/>
                <w:szCs w:val="18"/>
              </w:rPr>
              <w:t>.</w:t>
            </w:r>
          </w:p>
        </w:tc>
      </w:tr>
      <w:tr w:rsidR="00A22570" w:rsidRPr="003C4840" w14:paraId="210FD71A" w14:textId="77777777" w:rsidTr="00572033">
        <w:trPr>
          <w:trHeight w:val="64"/>
          <w:jc w:val="center"/>
        </w:trPr>
        <w:tc>
          <w:tcPr>
            <w:tcW w:w="2126" w:type="dxa"/>
            <w:vAlign w:val="center"/>
          </w:tcPr>
          <w:p w14:paraId="621D9EE9" w14:textId="100F3879" w:rsidR="00A22570" w:rsidRPr="00C428FA" w:rsidRDefault="00A22570" w:rsidP="00EF6FE9">
            <w:pPr>
              <w:spacing w:after="0"/>
              <w:rPr>
                <w:color w:val="FFFFFF" w:themeColor="background1"/>
                <w:sz w:val="22"/>
                <w:szCs w:val="10"/>
              </w:rPr>
            </w:pPr>
          </w:p>
        </w:tc>
        <w:tc>
          <w:tcPr>
            <w:tcW w:w="283" w:type="dxa"/>
            <w:vAlign w:val="center"/>
          </w:tcPr>
          <w:p w14:paraId="25663799" w14:textId="77777777" w:rsidR="00A22570" w:rsidRPr="00E724A1" w:rsidRDefault="00A22570" w:rsidP="00A22570">
            <w:pPr>
              <w:spacing w:after="0"/>
              <w:jc w:val="center"/>
              <w:rPr>
                <w:szCs w:val="10"/>
              </w:rPr>
            </w:pPr>
          </w:p>
        </w:tc>
        <w:tc>
          <w:tcPr>
            <w:tcW w:w="7514" w:type="dxa"/>
            <w:tcBorders>
              <w:top w:val="single" w:sz="4" w:space="0" w:color="auto"/>
              <w:bottom w:val="single" w:sz="4" w:space="0" w:color="auto"/>
            </w:tcBorders>
            <w:vAlign w:val="center"/>
          </w:tcPr>
          <w:p w14:paraId="5D6FB216" w14:textId="77777777" w:rsidR="00A22570" w:rsidRPr="00E724A1" w:rsidRDefault="00A22570" w:rsidP="00A22570">
            <w:pPr>
              <w:spacing w:after="0"/>
              <w:jc w:val="center"/>
              <w:rPr>
                <w:szCs w:val="10"/>
              </w:rPr>
            </w:pPr>
          </w:p>
        </w:tc>
      </w:tr>
      <w:tr w:rsidR="00A22570" w14:paraId="5AF30933" w14:textId="77777777" w:rsidTr="00572033">
        <w:trPr>
          <w:jc w:val="center"/>
        </w:trPr>
        <w:tc>
          <w:tcPr>
            <w:tcW w:w="2126" w:type="dxa"/>
            <w:shd w:val="clear" w:color="auto" w:fill="006699"/>
            <w:vAlign w:val="center"/>
          </w:tcPr>
          <w:p w14:paraId="77BBC381" w14:textId="744F251F" w:rsidR="00A22570" w:rsidRPr="00F41459" w:rsidRDefault="007857EF" w:rsidP="00F41459">
            <w:pPr>
              <w:spacing w:after="0"/>
              <w:rPr>
                <w:color w:val="FFFFFF" w:themeColor="background1"/>
                <w:sz w:val="22"/>
                <w:szCs w:val="18"/>
              </w:rPr>
            </w:pPr>
            <w:r w:rsidRPr="0043565B">
              <w:rPr>
                <w:b/>
                <w:bCs/>
                <w:color w:val="FFFFFF" w:themeColor="background1"/>
                <w:sz w:val="24"/>
                <w:szCs w:val="18"/>
              </w:rPr>
              <w:t>Engagement</w:t>
            </w:r>
            <w:r w:rsidR="005C2889" w:rsidRPr="0043565B">
              <w:rPr>
                <w:b/>
                <w:bCs/>
                <w:color w:val="FFFFFF" w:themeColor="background1"/>
                <w:sz w:val="24"/>
                <w:szCs w:val="18"/>
              </w:rPr>
              <w:t xml:space="preserve"> and </w:t>
            </w:r>
            <w:r w:rsidR="001B1CB6" w:rsidRPr="0043565B">
              <w:rPr>
                <w:b/>
                <w:bCs/>
                <w:color w:val="FFFFFF" w:themeColor="background1"/>
                <w:sz w:val="24"/>
                <w:szCs w:val="18"/>
              </w:rPr>
              <w:t>c</w:t>
            </w:r>
            <w:r w:rsidRPr="0043565B">
              <w:rPr>
                <w:b/>
                <w:bCs/>
                <w:color w:val="FFFFFF" w:themeColor="background1"/>
                <w:sz w:val="24"/>
                <w:szCs w:val="18"/>
              </w:rPr>
              <w:t>ollaboration</w:t>
            </w:r>
          </w:p>
        </w:tc>
        <w:tc>
          <w:tcPr>
            <w:tcW w:w="283" w:type="dxa"/>
            <w:tcBorders>
              <w:right w:val="single" w:sz="4" w:space="0" w:color="auto"/>
            </w:tcBorders>
            <w:vAlign w:val="center"/>
          </w:tcPr>
          <w:p w14:paraId="79481B81" w14:textId="77777777" w:rsidR="00A22570" w:rsidRPr="00E724A1" w:rsidRDefault="00A22570" w:rsidP="00A22570">
            <w:pPr>
              <w:spacing w:after="0"/>
              <w:jc w:val="center"/>
              <w:rPr>
                <w:szCs w:val="6"/>
              </w:rPr>
            </w:pPr>
          </w:p>
        </w:tc>
        <w:tc>
          <w:tcPr>
            <w:tcW w:w="75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1CB10" w14:textId="1F1B76D4" w:rsidR="005C2889" w:rsidRPr="0043565B" w:rsidRDefault="005C2889" w:rsidP="005C69A7">
            <w:pPr>
              <w:pStyle w:val="ListParagraph"/>
              <w:numPr>
                <w:ilvl w:val="0"/>
                <w:numId w:val="9"/>
              </w:numPr>
              <w:spacing w:before="120"/>
              <w:ind w:left="357" w:hanging="357"/>
              <w:contextualSpacing w:val="0"/>
              <w:rPr>
                <w:sz w:val="22"/>
                <w:szCs w:val="18"/>
              </w:rPr>
            </w:pPr>
            <w:r w:rsidRPr="0043565B">
              <w:rPr>
                <w:sz w:val="22"/>
                <w:szCs w:val="18"/>
              </w:rPr>
              <w:t>Partner</w:t>
            </w:r>
            <w:r w:rsidR="00B57866" w:rsidRPr="0043565B">
              <w:rPr>
                <w:sz w:val="22"/>
                <w:szCs w:val="18"/>
              </w:rPr>
              <w:t xml:space="preserve"> across jurisdictions and</w:t>
            </w:r>
            <w:r w:rsidR="00B665AA" w:rsidRPr="0043565B">
              <w:rPr>
                <w:sz w:val="22"/>
                <w:szCs w:val="18"/>
              </w:rPr>
              <w:t xml:space="preserve"> </w:t>
            </w:r>
            <w:r w:rsidRPr="0043565B">
              <w:rPr>
                <w:sz w:val="22"/>
                <w:szCs w:val="18"/>
              </w:rPr>
              <w:t xml:space="preserve">with stakeholders to co-design and implement spatial initiatives. </w:t>
            </w:r>
          </w:p>
          <w:p w14:paraId="1EA7E002" w14:textId="5E8485A1" w:rsidR="005C2889" w:rsidRPr="0043565B" w:rsidRDefault="005C2889" w:rsidP="005C69A7">
            <w:pPr>
              <w:pStyle w:val="ListParagraph"/>
              <w:numPr>
                <w:ilvl w:val="0"/>
                <w:numId w:val="9"/>
              </w:numPr>
              <w:ind w:left="357" w:hanging="357"/>
              <w:contextualSpacing w:val="0"/>
              <w:rPr>
                <w:sz w:val="22"/>
                <w:szCs w:val="18"/>
              </w:rPr>
            </w:pPr>
            <w:r w:rsidRPr="0043565B">
              <w:rPr>
                <w:sz w:val="22"/>
                <w:szCs w:val="18"/>
              </w:rPr>
              <w:t>Collaborat</w:t>
            </w:r>
            <w:r w:rsidR="00B665AA" w:rsidRPr="0043565B">
              <w:rPr>
                <w:sz w:val="22"/>
                <w:szCs w:val="18"/>
              </w:rPr>
              <w:t>e</w:t>
            </w:r>
            <w:r w:rsidRPr="0043565B">
              <w:rPr>
                <w:sz w:val="22"/>
                <w:szCs w:val="18"/>
              </w:rPr>
              <w:t xml:space="preserve"> to communicate and advocate for ANZLIC’s priorities and the value of spatial information across different sectors and key forums.</w:t>
            </w:r>
          </w:p>
          <w:p w14:paraId="5E541694" w14:textId="4BD10960" w:rsidR="00A22570" w:rsidRPr="00E724A1" w:rsidRDefault="00B665AA" w:rsidP="005C69A7">
            <w:pPr>
              <w:pStyle w:val="ListParagraph"/>
              <w:numPr>
                <w:ilvl w:val="0"/>
                <w:numId w:val="9"/>
              </w:numPr>
              <w:ind w:left="357" w:hanging="357"/>
              <w:contextualSpacing w:val="0"/>
              <w:rPr>
                <w:szCs w:val="18"/>
              </w:rPr>
            </w:pPr>
            <w:r w:rsidRPr="0043565B">
              <w:rPr>
                <w:sz w:val="22"/>
                <w:szCs w:val="18"/>
              </w:rPr>
              <w:t>Work</w:t>
            </w:r>
            <w:r w:rsidR="005C2889" w:rsidRPr="0043565B">
              <w:rPr>
                <w:sz w:val="22"/>
                <w:szCs w:val="18"/>
              </w:rPr>
              <w:t xml:space="preserve"> with the spatial industry to implement the 2026 Spatial Industry Transformation and Growth Agenda.</w:t>
            </w:r>
          </w:p>
        </w:tc>
      </w:tr>
      <w:tr w:rsidR="0001262B" w:rsidRPr="003C4840" w14:paraId="6F05A0F3" w14:textId="77777777" w:rsidTr="00572033">
        <w:trPr>
          <w:jc w:val="center"/>
        </w:trPr>
        <w:tc>
          <w:tcPr>
            <w:tcW w:w="2126" w:type="dxa"/>
            <w:vAlign w:val="center"/>
          </w:tcPr>
          <w:p w14:paraId="38B4D6C6" w14:textId="77777777" w:rsidR="00A22570" w:rsidRPr="00C428FA" w:rsidRDefault="00A22570" w:rsidP="00EF6FE9">
            <w:pPr>
              <w:spacing w:after="0"/>
              <w:rPr>
                <w:color w:val="FFFFFF" w:themeColor="background1"/>
                <w:sz w:val="22"/>
                <w:szCs w:val="10"/>
              </w:rPr>
            </w:pPr>
          </w:p>
        </w:tc>
        <w:tc>
          <w:tcPr>
            <w:tcW w:w="283" w:type="dxa"/>
            <w:vAlign w:val="center"/>
          </w:tcPr>
          <w:p w14:paraId="0CA03D54" w14:textId="77777777" w:rsidR="00A22570" w:rsidRPr="00E724A1" w:rsidRDefault="00A22570" w:rsidP="00A22570">
            <w:pPr>
              <w:spacing w:after="0"/>
              <w:jc w:val="center"/>
              <w:rPr>
                <w:color w:val="FFFFFF" w:themeColor="background1"/>
                <w:szCs w:val="10"/>
              </w:rPr>
            </w:pPr>
          </w:p>
        </w:tc>
        <w:tc>
          <w:tcPr>
            <w:tcW w:w="7514" w:type="dxa"/>
            <w:tcBorders>
              <w:top w:val="single" w:sz="4" w:space="0" w:color="auto"/>
              <w:bottom w:val="single" w:sz="4" w:space="0" w:color="auto"/>
            </w:tcBorders>
            <w:vAlign w:val="center"/>
          </w:tcPr>
          <w:p w14:paraId="7A5D795B" w14:textId="77777777" w:rsidR="00A22570" w:rsidRPr="00E724A1" w:rsidRDefault="00A22570" w:rsidP="00A22570">
            <w:pPr>
              <w:spacing w:after="0"/>
              <w:jc w:val="center"/>
              <w:rPr>
                <w:color w:val="FFFFFF" w:themeColor="background1"/>
                <w:szCs w:val="10"/>
              </w:rPr>
            </w:pPr>
          </w:p>
        </w:tc>
      </w:tr>
      <w:tr w:rsidR="00A22570" w14:paraId="687CE34B" w14:textId="77777777" w:rsidTr="00572033">
        <w:trPr>
          <w:jc w:val="center"/>
        </w:trPr>
        <w:tc>
          <w:tcPr>
            <w:tcW w:w="2126" w:type="dxa"/>
            <w:shd w:val="clear" w:color="auto" w:fill="006699"/>
            <w:vAlign w:val="center"/>
          </w:tcPr>
          <w:p w14:paraId="45FC8516" w14:textId="15E95670" w:rsidR="00A22570" w:rsidRPr="00F41459" w:rsidRDefault="005C2889" w:rsidP="00F41459">
            <w:pPr>
              <w:spacing w:after="0"/>
              <w:rPr>
                <w:color w:val="FFFFFF" w:themeColor="background1"/>
                <w:sz w:val="22"/>
                <w:szCs w:val="18"/>
              </w:rPr>
            </w:pPr>
            <w:r w:rsidRPr="0043565B">
              <w:rPr>
                <w:b/>
                <w:bCs/>
                <w:color w:val="FFFFFF" w:themeColor="background1"/>
                <w:sz w:val="24"/>
                <w:szCs w:val="18"/>
              </w:rPr>
              <w:t>Creat</w:t>
            </w:r>
            <w:r w:rsidR="00B665AA" w:rsidRPr="0043565B">
              <w:rPr>
                <w:b/>
                <w:bCs/>
                <w:color w:val="FFFFFF" w:themeColor="background1"/>
                <w:sz w:val="24"/>
                <w:szCs w:val="18"/>
              </w:rPr>
              <w:t>e</w:t>
            </w:r>
            <w:r w:rsidRPr="0043565B">
              <w:rPr>
                <w:b/>
                <w:bCs/>
                <w:color w:val="FFFFFF" w:themeColor="background1"/>
                <w:sz w:val="24"/>
                <w:szCs w:val="18"/>
              </w:rPr>
              <w:t xml:space="preserve"> insights and influenc</w:t>
            </w:r>
            <w:r w:rsidR="00B665AA" w:rsidRPr="0043565B">
              <w:rPr>
                <w:b/>
                <w:bCs/>
                <w:color w:val="FFFFFF" w:themeColor="background1"/>
                <w:sz w:val="24"/>
                <w:szCs w:val="18"/>
              </w:rPr>
              <w:t>e</w:t>
            </w:r>
            <w:r w:rsidR="001B1CB6" w:rsidRPr="0043565B">
              <w:rPr>
                <w:b/>
                <w:bCs/>
                <w:color w:val="FFFFFF" w:themeColor="background1"/>
                <w:sz w:val="24"/>
                <w:szCs w:val="18"/>
              </w:rPr>
              <w:t xml:space="preserve"> decision-</w:t>
            </w:r>
            <w:r w:rsidRPr="0043565B">
              <w:rPr>
                <w:b/>
                <w:bCs/>
                <w:color w:val="FFFFFF" w:themeColor="background1"/>
                <w:sz w:val="24"/>
                <w:szCs w:val="18"/>
              </w:rPr>
              <w:t>making</w:t>
            </w:r>
          </w:p>
        </w:tc>
        <w:tc>
          <w:tcPr>
            <w:tcW w:w="283" w:type="dxa"/>
            <w:tcBorders>
              <w:right w:val="single" w:sz="4" w:space="0" w:color="auto"/>
            </w:tcBorders>
            <w:vAlign w:val="center"/>
          </w:tcPr>
          <w:p w14:paraId="038A6BBF" w14:textId="77777777" w:rsidR="00A22570" w:rsidRPr="00E724A1" w:rsidRDefault="00A22570" w:rsidP="00A22570">
            <w:pPr>
              <w:spacing w:after="0"/>
              <w:jc w:val="center"/>
              <w:rPr>
                <w:szCs w:val="6"/>
              </w:rPr>
            </w:pPr>
          </w:p>
        </w:tc>
        <w:tc>
          <w:tcPr>
            <w:tcW w:w="75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0DAC1" w14:textId="77777777" w:rsidR="00A22570" w:rsidRPr="0043565B" w:rsidRDefault="00B665AA" w:rsidP="005C69A7">
            <w:pPr>
              <w:pStyle w:val="ListParagraph"/>
              <w:numPr>
                <w:ilvl w:val="0"/>
                <w:numId w:val="10"/>
              </w:numPr>
              <w:spacing w:before="120"/>
              <w:ind w:left="357" w:hanging="357"/>
              <w:contextualSpacing w:val="0"/>
              <w:rPr>
                <w:sz w:val="22"/>
                <w:szCs w:val="18"/>
              </w:rPr>
            </w:pPr>
            <w:r w:rsidRPr="0043565B">
              <w:rPr>
                <w:sz w:val="22"/>
                <w:szCs w:val="18"/>
              </w:rPr>
              <w:t>Work</w:t>
            </w:r>
            <w:r w:rsidR="005C2889" w:rsidRPr="0043565B">
              <w:rPr>
                <w:sz w:val="22"/>
                <w:szCs w:val="18"/>
              </w:rPr>
              <w:t xml:space="preserve"> with industry and research stakeholders to understand end user spatial data needs and opportunities to provide new insights.</w:t>
            </w:r>
          </w:p>
          <w:p w14:paraId="70542E30" w14:textId="484B527E" w:rsidR="006225D0" w:rsidRPr="00E724A1" w:rsidRDefault="006225D0" w:rsidP="005C69A7">
            <w:pPr>
              <w:pStyle w:val="ListParagraph"/>
              <w:numPr>
                <w:ilvl w:val="0"/>
                <w:numId w:val="10"/>
              </w:numPr>
              <w:ind w:left="357" w:hanging="357"/>
              <w:contextualSpacing w:val="0"/>
              <w:rPr>
                <w:szCs w:val="18"/>
              </w:rPr>
            </w:pPr>
            <w:r w:rsidRPr="0043565B">
              <w:rPr>
                <w:sz w:val="22"/>
                <w:szCs w:val="18"/>
              </w:rPr>
              <w:t>Promote the value and importance of spatial data to improve government processes, decision-making and place-based policy with stakeholders and forums.</w:t>
            </w:r>
          </w:p>
        </w:tc>
      </w:tr>
      <w:tr w:rsidR="0001262B" w:rsidRPr="003C4840" w14:paraId="58DBEC63" w14:textId="77777777" w:rsidTr="00572033">
        <w:trPr>
          <w:jc w:val="center"/>
        </w:trPr>
        <w:tc>
          <w:tcPr>
            <w:tcW w:w="2126" w:type="dxa"/>
            <w:vAlign w:val="center"/>
          </w:tcPr>
          <w:p w14:paraId="1A2897D4" w14:textId="77777777" w:rsidR="00A22570" w:rsidRPr="00C428FA" w:rsidRDefault="00A22570" w:rsidP="00EF6FE9">
            <w:pPr>
              <w:spacing w:after="0"/>
              <w:rPr>
                <w:color w:val="FFFFFF" w:themeColor="background1"/>
                <w:sz w:val="22"/>
                <w:szCs w:val="10"/>
              </w:rPr>
            </w:pPr>
          </w:p>
        </w:tc>
        <w:tc>
          <w:tcPr>
            <w:tcW w:w="283" w:type="dxa"/>
            <w:vAlign w:val="center"/>
          </w:tcPr>
          <w:p w14:paraId="225562DB" w14:textId="77777777" w:rsidR="00A22570" w:rsidRPr="00E724A1" w:rsidRDefault="00A22570" w:rsidP="00A22570">
            <w:pPr>
              <w:spacing w:after="0"/>
              <w:jc w:val="center"/>
              <w:rPr>
                <w:color w:val="FFFFFF" w:themeColor="background1"/>
                <w:szCs w:val="10"/>
              </w:rPr>
            </w:pPr>
          </w:p>
        </w:tc>
        <w:tc>
          <w:tcPr>
            <w:tcW w:w="7514" w:type="dxa"/>
            <w:tcBorders>
              <w:top w:val="single" w:sz="4" w:space="0" w:color="auto"/>
              <w:bottom w:val="single" w:sz="4" w:space="0" w:color="auto"/>
            </w:tcBorders>
            <w:vAlign w:val="center"/>
          </w:tcPr>
          <w:p w14:paraId="40BE1FEF" w14:textId="77777777" w:rsidR="00A22570" w:rsidRPr="00E724A1" w:rsidRDefault="00A22570" w:rsidP="00A22570">
            <w:pPr>
              <w:spacing w:after="0"/>
              <w:jc w:val="center"/>
              <w:rPr>
                <w:color w:val="FFFFFF" w:themeColor="background1"/>
                <w:szCs w:val="10"/>
              </w:rPr>
            </w:pPr>
          </w:p>
        </w:tc>
      </w:tr>
      <w:tr w:rsidR="00A22570" w14:paraId="32126F37" w14:textId="77777777" w:rsidTr="00572033">
        <w:trPr>
          <w:jc w:val="center"/>
        </w:trPr>
        <w:tc>
          <w:tcPr>
            <w:tcW w:w="2126" w:type="dxa"/>
            <w:shd w:val="clear" w:color="auto" w:fill="006699"/>
            <w:vAlign w:val="center"/>
          </w:tcPr>
          <w:p w14:paraId="080886A2" w14:textId="70F915F6" w:rsidR="00A22570" w:rsidRPr="00F41459" w:rsidRDefault="005C2889" w:rsidP="00F41459">
            <w:pPr>
              <w:spacing w:after="0"/>
              <w:rPr>
                <w:color w:val="FFFFFF" w:themeColor="background1"/>
                <w:sz w:val="22"/>
                <w:szCs w:val="18"/>
              </w:rPr>
            </w:pPr>
            <w:r w:rsidRPr="0043565B">
              <w:rPr>
                <w:b/>
                <w:bCs/>
                <w:color w:val="FFFFFF" w:themeColor="background1"/>
                <w:sz w:val="24"/>
                <w:szCs w:val="18"/>
              </w:rPr>
              <w:t>Spatial capabilities for the future</w:t>
            </w:r>
          </w:p>
        </w:tc>
        <w:tc>
          <w:tcPr>
            <w:tcW w:w="283" w:type="dxa"/>
            <w:tcBorders>
              <w:right w:val="single" w:sz="4" w:space="0" w:color="auto"/>
            </w:tcBorders>
            <w:vAlign w:val="center"/>
          </w:tcPr>
          <w:p w14:paraId="4A21A135" w14:textId="77777777" w:rsidR="00A22570" w:rsidRPr="00E724A1" w:rsidRDefault="00A22570" w:rsidP="00A22570">
            <w:pPr>
              <w:spacing w:after="0"/>
              <w:jc w:val="center"/>
              <w:rPr>
                <w:szCs w:val="6"/>
              </w:rPr>
            </w:pPr>
          </w:p>
        </w:tc>
        <w:tc>
          <w:tcPr>
            <w:tcW w:w="75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274F9" w14:textId="56CBB37C" w:rsidR="005C2889" w:rsidRPr="0043565B" w:rsidRDefault="005C2889" w:rsidP="005C69A7">
            <w:pPr>
              <w:pStyle w:val="ListParagraph"/>
              <w:numPr>
                <w:ilvl w:val="0"/>
                <w:numId w:val="9"/>
              </w:numPr>
              <w:spacing w:before="120"/>
              <w:ind w:left="357" w:hanging="357"/>
              <w:contextualSpacing w:val="0"/>
              <w:rPr>
                <w:sz w:val="22"/>
                <w:szCs w:val="18"/>
              </w:rPr>
            </w:pPr>
            <w:r w:rsidRPr="0043565B">
              <w:rPr>
                <w:sz w:val="22"/>
                <w:szCs w:val="18"/>
              </w:rPr>
              <w:t>Actively promot</w:t>
            </w:r>
            <w:r w:rsidR="00B665AA" w:rsidRPr="0043565B">
              <w:rPr>
                <w:sz w:val="22"/>
                <w:szCs w:val="18"/>
              </w:rPr>
              <w:t>e</w:t>
            </w:r>
            <w:r w:rsidRPr="0043565B">
              <w:rPr>
                <w:sz w:val="22"/>
                <w:szCs w:val="18"/>
              </w:rPr>
              <w:t xml:space="preserve"> diversity and inclusion in the spatial sector.</w:t>
            </w:r>
          </w:p>
          <w:p w14:paraId="595E4C0C" w14:textId="5FB18000" w:rsidR="005C2889" w:rsidRPr="0043565B" w:rsidRDefault="00B665AA" w:rsidP="005C69A7">
            <w:pPr>
              <w:pStyle w:val="ListParagraph"/>
              <w:numPr>
                <w:ilvl w:val="0"/>
                <w:numId w:val="9"/>
              </w:numPr>
              <w:ind w:left="357" w:hanging="357"/>
              <w:contextualSpacing w:val="0"/>
              <w:rPr>
                <w:sz w:val="22"/>
                <w:szCs w:val="18"/>
              </w:rPr>
            </w:pPr>
            <w:r w:rsidRPr="0043565B">
              <w:rPr>
                <w:sz w:val="22"/>
                <w:szCs w:val="18"/>
              </w:rPr>
              <w:t>Work</w:t>
            </w:r>
            <w:r w:rsidR="005C2889" w:rsidRPr="0043565B">
              <w:rPr>
                <w:sz w:val="22"/>
                <w:szCs w:val="18"/>
              </w:rPr>
              <w:t xml:space="preserve"> with industry bodies</w:t>
            </w:r>
            <w:r w:rsidR="006225D0" w:rsidRPr="0043565B">
              <w:rPr>
                <w:sz w:val="22"/>
                <w:szCs w:val="18"/>
              </w:rPr>
              <w:t xml:space="preserve"> </w:t>
            </w:r>
            <w:r w:rsidR="005C2889" w:rsidRPr="0043565B">
              <w:rPr>
                <w:sz w:val="22"/>
                <w:szCs w:val="18"/>
              </w:rPr>
              <w:t>to improve spatial capability.</w:t>
            </w:r>
          </w:p>
          <w:p w14:paraId="07325C7A" w14:textId="23B9AF21" w:rsidR="00A22570" w:rsidRPr="00E724A1" w:rsidRDefault="005C2889" w:rsidP="005C69A7">
            <w:pPr>
              <w:pStyle w:val="ListParagraph"/>
              <w:numPr>
                <w:ilvl w:val="0"/>
                <w:numId w:val="9"/>
              </w:numPr>
              <w:ind w:left="357" w:hanging="357"/>
              <w:contextualSpacing w:val="0"/>
              <w:rPr>
                <w:szCs w:val="18"/>
              </w:rPr>
            </w:pPr>
            <w:r w:rsidRPr="0043565B">
              <w:rPr>
                <w:sz w:val="22"/>
                <w:szCs w:val="18"/>
              </w:rPr>
              <w:t>Work across government and industry to share spatial expertise.</w:t>
            </w:r>
          </w:p>
        </w:tc>
      </w:tr>
      <w:tr w:rsidR="0001262B" w:rsidRPr="003C4840" w14:paraId="78D169C6" w14:textId="77777777" w:rsidTr="00572033">
        <w:trPr>
          <w:jc w:val="center"/>
        </w:trPr>
        <w:tc>
          <w:tcPr>
            <w:tcW w:w="2126" w:type="dxa"/>
            <w:vAlign w:val="center"/>
          </w:tcPr>
          <w:p w14:paraId="084161FB" w14:textId="3D4D2436" w:rsidR="00A22570" w:rsidRPr="00C428FA" w:rsidRDefault="00A22570" w:rsidP="00EF6FE9">
            <w:pPr>
              <w:spacing w:after="0"/>
              <w:rPr>
                <w:color w:val="FFFFFF" w:themeColor="background1"/>
                <w:sz w:val="22"/>
                <w:szCs w:val="10"/>
              </w:rPr>
            </w:pPr>
          </w:p>
        </w:tc>
        <w:tc>
          <w:tcPr>
            <w:tcW w:w="283" w:type="dxa"/>
            <w:vAlign w:val="center"/>
          </w:tcPr>
          <w:p w14:paraId="4F589B39" w14:textId="77777777" w:rsidR="00A22570" w:rsidRPr="00E724A1" w:rsidRDefault="00A22570" w:rsidP="00A22570">
            <w:pPr>
              <w:spacing w:after="0"/>
              <w:jc w:val="center"/>
              <w:rPr>
                <w:color w:val="FFFFFF" w:themeColor="background1"/>
                <w:szCs w:val="10"/>
              </w:rPr>
            </w:pPr>
          </w:p>
        </w:tc>
        <w:tc>
          <w:tcPr>
            <w:tcW w:w="7514" w:type="dxa"/>
            <w:tcBorders>
              <w:top w:val="single" w:sz="4" w:space="0" w:color="auto"/>
              <w:bottom w:val="single" w:sz="4" w:space="0" w:color="auto"/>
            </w:tcBorders>
            <w:vAlign w:val="center"/>
          </w:tcPr>
          <w:p w14:paraId="1547A6A9" w14:textId="77777777" w:rsidR="00A22570" w:rsidRPr="00E724A1" w:rsidRDefault="00A22570" w:rsidP="00A22570">
            <w:pPr>
              <w:spacing w:after="0"/>
              <w:jc w:val="center"/>
              <w:rPr>
                <w:color w:val="FFFFFF" w:themeColor="background1"/>
                <w:szCs w:val="10"/>
              </w:rPr>
            </w:pPr>
          </w:p>
        </w:tc>
      </w:tr>
      <w:tr w:rsidR="00A22570" w14:paraId="1751739A" w14:textId="77777777" w:rsidTr="00572033">
        <w:trPr>
          <w:jc w:val="center"/>
        </w:trPr>
        <w:tc>
          <w:tcPr>
            <w:tcW w:w="2126" w:type="dxa"/>
            <w:shd w:val="clear" w:color="auto" w:fill="006699"/>
            <w:vAlign w:val="center"/>
          </w:tcPr>
          <w:p w14:paraId="14D3BC9B" w14:textId="7E24B9BF" w:rsidR="00A22570" w:rsidRPr="00F41459" w:rsidRDefault="00A22570" w:rsidP="00F41459">
            <w:pPr>
              <w:spacing w:after="0"/>
              <w:rPr>
                <w:color w:val="FFFFFF" w:themeColor="background1"/>
                <w:sz w:val="22"/>
                <w:szCs w:val="18"/>
              </w:rPr>
            </w:pPr>
            <w:r w:rsidRPr="0043565B">
              <w:rPr>
                <w:b/>
                <w:bCs/>
                <w:color w:val="FFFFFF" w:themeColor="background1"/>
                <w:sz w:val="24"/>
                <w:szCs w:val="18"/>
              </w:rPr>
              <w:t>Future proofing – R&amp;D and technology</w:t>
            </w:r>
          </w:p>
        </w:tc>
        <w:tc>
          <w:tcPr>
            <w:tcW w:w="283" w:type="dxa"/>
            <w:tcBorders>
              <w:right w:val="single" w:sz="4" w:space="0" w:color="auto"/>
            </w:tcBorders>
            <w:vAlign w:val="center"/>
          </w:tcPr>
          <w:p w14:paraId="19F73A89" w14:textId="77777777" w:rsidR="00A22570" w:rsidRPr="00E724A1" w:rsidRDefault="00A22570" w:rsidP="00A22570">
            <w:pPr>
              <w:spacing w:after="0"/>
              <w:jc w:val="center"/>
              <w:rPr>
                <w:szCs w:val="6"/>
              </w:rPr>
            </w:pPr>
          </w:p>
        </w:tc>
        <w:tc>
          <w:tcPr>
            <w:tcW w:w="75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1795E1" w14:textId="303B8619" w:rsidR="005C2889" w:rsidRPr="0043565B" w:rsidRDefault="00A22570" w:rsidP="005C69A7">
            <w:pPr>
              <w:pStyle w:val="ListParagraph"/>
              <w:numPr>
                <w:ilvl w:val="0"/>
                <w:numId w:val="11"/>
              </w:numPr>
              <w:spacing w:before="120"/>
              <w:ind w:left="357" w:hanging="357"/>
              <w:contextualSpacing w:val="0"/>
              <w:rPr>
                <w:sz w:val="22"/>
                <w:szCs w:val="18"/>
              </w:rPr>
            </w:pPr>
            <w:r w:rsidRPr="0043565B">
              <w:rPr>
                <w:sz w:val="22"/>
                <w:szCs w:val="18"/>
              </w:rPr>
              <w:t>Embrac</w:t>
            </w:r>
            <w:r w:rsidR="00B665AA" w:rsidRPr="0043565B">
              <w:rPr>
                <w:sz w:val="22"/>
                <w:szCs w:val="18"/>
              </w:rPr>
              <w:t>e</w:t>
            </w:r>
            <w:r w:rsidRPr="0043565B">
              <w:rPr>
                <w:sz w:val="22"/>
                <w:szCs w:val="18"/>
              </w:rPr>
              <w:t xml:space="preserve"> new approaches and emerging technologies to future-proof spatial information</w:t>
            </w:r>
            <w:r w:rsidR="00C41FE3" w:rsidRPr="0043565B">
              <w:rPr>
                <w:sz w:val="22"/>
                <w:szCs w:val="18"/>
              </w:rPr>
              <w:t xml:space="preserve"> and </w:t>
            </w:r>
            <w:r w:rsidR="002129FD" w:rsidRPr="0043565B">
              <w:rPr>
                <w:sz w:val="22"/>
                <w:szCs w:val="18"/>
              </w:rPr>
              <w:t>data</w:t>
            </w:r>
            <w:r w:rsidR="005C2889" w:rsidRPr="0043565B">
              <w:rPr>
                <w:sz w:val="22"/>
                <w:szCs w:val="18"/>
              </w:rPr>
              <w:t>.</w:t>
            </w:r>
          </w:p>
          <w:p w14:paraId="3C8D6466" w14:textId="1C228D24" w:rsidR="00A22570" w:rsidRPr="00E724A1" w:rsidRDefault="005C2889" w:rsidP="005C69A7">
            <w:pPr>
              <w:pStyle w:val="ListParagraph"/>
              <w:numPr>
                <w:ilvl w:val="0"/>
                <w:numId w:val="11"/>
              </w:numPr>
              <w:ind w:left="357" w:hanging="357"/>
              <w:contextualSpacing w:val="0"/>
              <w:rPr>
                <w:szCs w:val="18"/>
              </w:rPr>
            </w:pPr>
            <w:r w:rsidRPr="0043565B">
              <w:rPr>
                <w:sz w:val="22"/>
                <w:szCs w:val="18"/>
              </w:rPr>
              <w:t>S</w:t>
            </w:r>
            <w:r w:rsidR="00A22570" w:rsidRPr="0043565B">
              <w:rPr>
                <w:sz w:val="22"/>
                <w:szCs w:val="18"/>
              </w:rPr>
              <w:t xml:space="preserve">upport </w:t>
            </w:r>
            <w:r w:rsidR="002129FD" w:rsidRPr="0043565B">
              <w:rPr>
                <w:sz w:val="22"/>
                <w:szCs w:val="18"/>
              </w:rPr>
              <w:t>and advocat</w:t>
            </w:r>
            <w:r w:rsidR="00B665AA" w:rsidRPr="0043565B">
              <w:rPr>
                <w:sz w:val="22"/>
                <w:szCs w:val="18"/>
              </w:rPr>
              <w:t>e</w:t>
            </w:r>
            <w:r w:rsidR="002129FD" w:rsidRPr="0043565B">
              <w:rPr>
                <w:sz w:val="22"/>
                <w:szCs w:val="18"/>
              </w:rPr>
              <w:t xml:space="preserve"> for </w:t>
            </w:r>
            <w:r w:rsidR="00A22570" w:rsidRPr="0043565B">
              <w:rPr>
                <w:sz w:val="22"/>
                <w:szCs w:val="18"/>
              </w:rPr>
              <w:t>spatial</w:t>
            </w:r>
            <w:r w:rsidRPr="0043565B">
              <w:rPr>
                <w:sz w:val="22"/>
                <w:szCs w:val="18"/>
              </w:rPr>
              <w:t xml:space="preserve"> </w:t>
            </w:r>
            <w:r w:rsidR="00A22570" w:rsidRPr="0043565B">
              <w:rPr>
                <w:sz w:val="22"/>
                <w:szCs w:val="18"/>
              </w:rPr>
              <w:t>research and development activities.</w:t>
            </w:r>
          </w:p>
        </w:tc>
      </w:tr>
    </w:tbl>
    <w:p w14:paraId="6CB6934F" w14:textId="79834F51" w:rsidR="00C428FA" w:rsidRDefault="00C428FA" w:rsidP="00C428FA"/>
    <w:p w14:paraId="527F5240" w14:textId="77777777" w:rsidR="001F3A81" w:rsidRDefault="001F3A81" w:rsidP="00C428FA"/>
    <w:p w14:paraId="3540F341" w14:textId="77777777" w:rsidR="001F3A81" w:rsidRDefault="001F3A81" w:rsidP="00C428FA"/>
    <w:p w14:paraId="51C3DC73" w14:textId="77777777" w:rsidR="001F3A81" w:rsidRDefault="001F3A81" w:rsidP="00C428FA"/>
    <w:p w14:paraId="667D6F83" w14:textId="77777777" w:rsidR="001F3A81" w:rsidRDefault="001F3A81" w:rsidP="00C428FA"/>
    <w:p w14:paraId="0EC2934A" w14:textId="77777777" w:rsidR="001F3A81" w:rsidRDefault="001F3A81" w:rsidP="00C428FA"/>
    <w:p w14:paraId="35397995" w14:textId="77777777" w:rsidR="001F3A81" w:rsidRDefault="001F3A81" w:rsidP="00C428FA"/>
    <w:p w14:paraId="0C3E68BE" w14:textId="7E4DB683" w:rsidR="007E162B" w:rsidRPr="00572033" w:rsidRDefault="00C56F63" w:rsidP="00572033">
      <w:pPr>
        <w:pStyle w:val="Heading2"/>
        <w:spacing w:before="360"/>
        <w:rPr>
          <w:color w:val="339933"/>
        </w:rPr>
      </w:pPr>
      <w:r w:rsidRPr="00F651CC">
        <w:rPr>
          <w:color w:val="339933"/>
        </w:rPr>
        <w:t>How ANZLIC will measure success</w:t>
      </w:r>
    </w:p>
    <w:tbl>
      <w:tblPr>
        <w:tblStyle w:val="TableGrid"/>
        <w:tblW w:w="9918" w:type="dxa"/>
        <w:tblLook w:val="04A0" w:firstRow="1" w:lastRow="0" w:firstColumn="1" w:lastColumn="0" w:noHBand="0" w:noVBand="1"/>
      </w:tblPr>
      <w:tblGrid>
        <w:gridCol w:w="2547"/>
        <w:gridCol w:w="3827"/>
        <w:gridCol w:w="3544"/>
      </w:tblGrid>
      <w:tr w:rsidR="007E162B" w14:paraId="5C6BFE8D" w14:textId="77777777" w:rsidTr="00572033">
        <w:tc>
          <w:tcPr>
            <w:tcW w:w="2547" w:type="dxa"/>
            <w:shd w:val="clear" w:color="auto" w:fill="006699"/>
          </w:tcPr>
          <w:p w14:paraId="586141E4" w14:textId="77777777" w:rsidR="007E162B" w:rsidRDefault="007E162B" w:rsidP="007E162B"/>
        </w:tc>
        <w:tc>
          <w:tcPr>
            <w:tcW w:w="3827" w:type="dxa"/>
            <w:shd w:val="clear" w:color="auto" w:fill="006699"/>
            <w:vAlign w:val="center"/>
          </w:tcPr>
          <w:p w14:paraId="2629B7FF" w14:textId="0F600EA1" w:rsidR="007E162B" w:rsidRPr="00884A47" w:rsidRDefault="007E162B" w:rsidP="00BF69E0">
            <w:pPr>
              <w:spacing w:after="0"/>
              <w:jc w:val="center"/>
              <w:rPr>
                <w:b/>
                <w:color w:val="005677" w:themeColor="accent1"/>
                <w:sz w:val="24"/>
              </w:rPr>
            </w:pPr>
            <w:r w:rsidRPr="00884A47">
              <w:rPr>
                <w:b/>
                <w:color w:val="FFFFFF" w:themeColor="background1"/>
                <w:sz w:val="24"/>
              </w:rPr>
              <w:t>ANZLIC will measure success based on:</w:t>
            </w:r>
          </w:p>
        </w:tc>
        <w:tc>
          <w:tcPr>
            <w:tcW w:w="3544" w:type="dxa"/>
            <w:shd w:val="clear" w:color="auto" w:fill="006699"/>
            <w:vAlign w:val="center"/>
          </w:tcPr>
          <w:p w14:paraId="29848841" w14:textId="35F621DA" w:rsidR="007E162B" w:rsidRPr="00884A47" w:rsidRDefault="007E162B" w:rsidP="00BF69E0">
            <w:pPr>
              <w:spacing w:after="0"/>
              <w:jc w:val="center"/>
              <w:rPr>
                <w:b/>
                <w:color w:val="FFFFFF" w:themeColor="background1"/>
                <w:sz w:val="24"/>
              </w:rPr>
            </w:pPr>
            <w:r w:rsidRPr="00884A47">
              <w:rPr>
                <w:b/>
                <w:color w:val="FFFFFF" w:themeColor="background1"/>
                <w:sz w:val="24"/>
              </w:rPr>
              <w:t>What success looks like – Benefits realisation</w:t>
            </w:r>
          </w:p>
        </w:tc>
      </w:tr>
      <w:tr w:rsidR="007E162B" w14:paraId="413D6FF9" w14:textId="77777777" w:rsidTr="00572033">
        <w:trPr>
          <w:trHeight w:val="818"/>
        </w:trPr>
        <w:tc>
          <w:tcPr>
            <w:tcW w:w="2547" w:type="dxa"/>
            <w:shd w:val="clear" w:color="auto" w:fill="006699"/>
            <w:vAlign w:val="center"/>
          </w:tcPr>
          <w:p w14:paraId="3611585E" w14:textId="62DDD556" w:rsidR="007E162B" w:rsidRPr="00884A47" w:rsidRDefault="007E162B" w:rsidP="00BF69E0">
            <w:pPr>
              <w:spacing w:after="0"/>
              <w:rPr>
                <w:b/>
                <w:color w:val="006699"/>
                <w:sz w:val="24"/>
              </w:rPr>
            </w:pPr>
            <w:r w:rsidRPr="00884A47">
              <w:rPr>
                <w:b/>
                <w:color w:val="FFFFFF" w:themeColor="background1"/>
                <w:sz w:val="24"/>
              </w:rPr>
              <w:t>Modernise foundation spatial information and data</w:t>
            </w:r>
          </w:p>
        </w:tc>
        <w:tc>
          <w:tcPr>
            <w:tcW w:w="3827" w:type="dxa"/>
          </w:tcPr>
          <w:p w14:paraId="0D1629E8" w14:textId="77777777" w:rsidR="007E162B" w:rsidRPr="00884A47" w:rsidRDefault="007E162B" w:rsidP="005C69A7">
            <w:pPr>
              <w:pStyle w:val="ListParagraph"/>
              <w:numPr>
                <w:ilvl w:val="0"/>
                <w:numId w:val="31"/>
              </w:numPr>
              <w:spacing w:before="120"/>
              <w:ind w:left="357" w:hanging="357"/>
              <w:contextualSpacing w:val="0"/>
              <w:rPr>
                <w:sz w:val="22"/>
              </w:rPr>
            </w:pPr>
            <w:r w:rsidRPr="00884A47">
              <w:rPr>
                <w:sz w:val="22"/>
              </w:rPr>
              <w:t>Progress to update ANZLIC’s FSDF, providing improved discoverability and accessibility for modernised spatial data.</w:t>
            </w:r>
          </w:p>
          <w:p w14:paraId="5277CC43" w14:textId="1C81DF42" w:rsidR="007E162B" w:rsidRPr="002D13FC" w:rsidRDefault="007E162B" w:rsidP="005C69A7">
            <w:pPr>
              <w:pStyle w:val="ListParagraph"/>
              <w:numPr>
                <w:ilvl w:val="0"/>
                <w:numId w:val="31"/>
              </w:numPr>
              <w:contextualSpacing w:val="0"/>
              <w:rPr>
                <w:sz w:val="22"/>
              </w:rPr>
            </w:pPr>
            <w:r w:rsidRPr="00884A47">
              <w:rPr>
                <w:sz w:val="22"/>
              </w:rPr>
              <w:t xml:space="preserve">Increased development and adoption of open spatial data standards across jurisdictions and within industry. </w:t>
            </w:r>
          </w:p>
        </w:tc>
        <w:tc>
          <w:tcPr>
            <w:tcW w:w="3544" w:type="dxa"/>
          </w:tcPr>
          <w:p w14:paraId="6300B8EB" w14:textId="32B72EC9" w:rsidR="007E162B" w:rsidRPr="00884A47" w:rsidRDefault="007E162B" w:rsidP="005C69A7">
            <w:pPr>
              <w:pStyle w:val="ListParagraph"/>
              <w:numPr>
                <w:ilvl w:val="0"/>
                <w:numId w:val="31"/>
              </w:numPr>
              <w:spacing w:before="120"/>
              <w:ind w:left="357" w:hanging="357"/>
              <w:contextualSpacing w:val="0"/>
              <w:rPr>
                <w:sz w:val="22"/>
              </w:rPr>
            </w:pPr>
            <w:r w:rsidRPr="00884A47">
              <w:rPr>
                <w:sz w:val="22"/>
              </w:rPr>
              <w:t>Foundation spatial data is discoverable, accessible and of the appropriate quality for the broadest poss</w:t>
            </w:r>
            <w:r w:rsidR="00BF69E0">
              <w:rPr>
                <w:sz w:val="22"/>
              </w:rPr>
              <w:t>ible range of end </w:t>
            </w:r>
            <w:r w:rsidRPr="00884A47">
              <w:rPr>
                <w:sz w:val="22"/>
              </w:rPr>
              <w:t>users.</w:t>
            </w:r>
          </w:p>
          <w:p w14:paraId="58E4166E" w14:textId="3BC0EC8A" w:rsidR="007E162B" w:rsidRPr="00884A47" w:rsidRDefault="007E162B" w:rsidP="005C69A7">
            <w:pPr>
              <w:pStyle w:val="ListParagraph"/>
              <w:numPr>
                <w:ilvl w:val="0"/>
                <w:numId w:val="31"/>
              </w:numPr>
              <w:contextualSpacing w:val="0"/>
              <w:rPr>
                <w:sz w:val="22"/>
              </w:rPr>
            </w:pPr>
            <w:r w:rsidRPr="00884A47">
              <w:rPr>
                <w:sz w:val="22"/>
              </w:rPr>
              <w:t xml:space="preserve">Modernised spatial data is openly </w:t>
            </w:r>
            <w:r w:rsidR="00921C3D" w:rsidRPr="00884A47">
              <w:rPr>
                <w:sz w:val="22"/>
              </w:rPr>
              <w:t>available</w:t>
            </w:r>
            <w:r w:rsidRPr="00884A47">
              <w:rPr>
                <w:sz w:val="22"/>
              </w:rPr>
              <w:t xml:space="preserve"> in 3D and 4D formats and complies </w:t>
            </w:r>
            <w:r w:rsidR="00930190">
              <w:rPr>
                <w:sz w:val="22"/>
              </w:rPr>
              <w:t xml:space="preserve">with open standards. </w:t>
            </w:r>
          </w:p>
        </w:tc>
      </w:tr>
      <w:tr w:rsidR="007E162B" w14:paraId="0088A828" w14:textId="77777777" w:rsidTr="00572033">
        <w:tc>
          <w:tcPr>
            <w:tcW w:w="2547" w:type="dxa"/>
            <w:shd w:val="clear" w:color="auto" w:fill="006699"/>
            <w:vAlign w:val="center"/>
          </w:tcPr>
          <w:p w14:paraId="21FB22AE" w14:textId="2DC3095B" w:rsidR="007E162B" w:rsidRPr="00884A47" w:rsidRDefault="007E162B" w:rsidP="00BF69E0">
            <w:pPr>
              <w:spacing w:after="0"/>
              <w:rPr>
                <w:b/>
                <w:sz w:val="24"/>
              </w:rPr>
            </w:pPr>
            <w:r w:rsidRPr="00884A47">
              <w:rPr>
                <w:b/>
                <w:color w:val="FFFFFF" w:themeColor="background1"/>
                <w:sz w:val="24"/>
              </w:rPr>
              <w:t>Engagement and collaboration</w:t>
            </w:r>
          </w:p>
        </w:tc>
        <w:tc>
          <w:tcPr>
            <w:tcW w:w="3827" w:type="dxa"/>
          </w:tcPr>
          <w:p w14:paraId="59F6E9EE" w14:textId="77777777" w:rsidR="007E162B" w:rsidRPr="00884A47" w:rsidRDefault="007E162B" w:rsidP="005C69A7">
            <w:pPr>
              <w:pStyle w:val="ListParagraph"/>
              <w:numPr>
                <w:ilvl w:val="0"/>
                <w:numId w:val="32"/>
              </w:numPr>
              <w:spacing w:before="120"/>
              <w:ind w:left="357" w:hanging="357"/>
              <w:contextualSpacing w:val="0"/>
              <w:rPr>
                <w:sz w:val="22"/>
              </w:rPr>
            </w:pPr>
            <w:r w:rsidRPr="00884A47">
              <w:rPr>
                <w:sz w:val="22"/>
              </w:rPr>
              <w:t>Stakeholder engagement by ANZLIC and its member jurisdictions to share information and collaborate.</w:t>
            </w:r>
          </w:p>
          <w:p w14:paraId="3A6E373E" w14:textId="2CB0870B" w:rsidR="007E162B" w:rsidRPr="002D13FC" w:rsidRDefault="007E162B" w:rsidP="005C69A7">
            <w:pPr>
              <w:pStyle w:val="ListParagraph"/>
              <w:numPr>
                <w:ilvl w:val="0"/>
                <w:numId w:val="32"/>
              </w:numPr>
              <w:contextualSpacing w:val="0"/>
              <w:rPr>
                <w:sz w:val="22"/>
              </w:rPr>
            </w:pPr>
            <w:r w:rsidRPr="00884A47">
              <w:rPr>
                <w:sz w:val="22"/>
              </w:rPr>
              <w:t>Increased awareness of the value and potential uses of spatial information.</w:t>
            </w:r>
          </w:p>
        </w:tc>
        <w:tc>
          <w:tcPr>
            <w:tcW w:w="3544" w:type="dxa"/>
          </w:tcPr>
          <w:p w14:paraId="659DD0B4" w14:textId="77777777" w:rsidR="007E162B" w:rsidRPr="00884A47" w:rsidRDefault="00921C3D" w:rsidP="005C69A7">
            <w:pPr>
              <w:pStyle w:val="ListParagraph"/>
              <w:numPr>
                <w:ilvl w:val="0"/>
                <w:numId w:val="32"/>
              </w:numPr>
              <w:spacing w:before="120"/>
              <w:ind w:left="357" w:hanging="357"/>
              <w:contextualSpacing w:val="0"/>
              <w:rPr>
                <w:sz w:val="22"/>
              </w:rPr>
            </w:pPr>
            <w:r w:rsidRPr="00884A47">
              <w:rPr>
                <w:sz w:val="22"/>
              </w:rPr>
              <w:t>Stakeholders understand ANZLIC’s priorities and key initiatives, and vice versa.</w:t>
            </w:r>
          </w:p>
          <w:p w14:paraId="314A0AAF" w14:textId="1C966F13" w:rsidR="00921C3D" w:rsidRPr="00884A47" w:rsidRDefault="00921C3D" w:rsidP="005C69A7">
            <w:pPr>
              <w:pStyle w:val="ListParagraph"/>
              <w:numPr>
                <w:ilvl w:val="0"/>
                <w:numId w:val="32"/>
              </w:numPr>
              <w:contextualSpacing w:val="0"/>
              <w:rPr>
                <w:sz w:val="22"/>
              </w:rPr>
            </w:pPr>
            <w:r w:rsidRPr="00884A47">
              <w:rPr>
                <w:sz w:val="22"/>
              </w:rPr>
              <w:t xml:space="preserve">ANZLIC partners with stakeholders to progress initiatives collaboratively for mutual benefit. </w:t>
            </w:r>
          </w:p>
        </w:tc>
      </w:tr>
      <w:tr w:rsidR="007E162B" w14:paraId="196380F5" w14:textId="77777777" w:rsidTr="00572033">
        <w:trPr>
          <w:trHeight w:val="2695"/>
        </w:trPr>
        <w:tc>
          <w:tcPr>
            <w:tcW w:w="2547" w:type="dxa"/>
            <w:shd w:val="clear" w:color="auto" w:fill="006699"/>
            <w:vAlign w:val="center"/>
          </w:tcPr>
          <w:p w14:paraId="4FB2641C" w14:textId="424A2885" w:rsidR="007E162B" w:rsidRPr="00884A47" w:rsidRDefault="007E162B" w:rsidP="00BF69E0">
            <w:pPr>
              <w:spacing w:after="0"/>
              <w:rPr>
                <w:b/>
                <w:sz w:val="24"/>
              </w:rPr>
            </w:pPr>
            <w:r w:rsidRPr="00884A47">
              <w:rPr>
                <w:b/>
                <w:color w:val="FFFFFF" w:themeColor="background1"/>
                <w:sz w:val="24"/>
              </w:rPr>
              <w:t>Create insights and influence decision</w:t>
            </w:r>
            <w:r w:rsidR="00977CA6" w:rsidRPr="00884A47">
              <w:rPr>
                <w:b/>
                <w:color w:val="FFFFFF" w:themeColor="background1"/>
                <w:sz w:val="24"/>
              </w:rPr>
              <w:t>-</w:t>
            </w:r>
            <w:r w:rsidRPr="00884A47">
              <w:rPr>
                <w:b/>
                <w:color w:val="FFFFFF" w:themeColor="background1"/>
                <w:sz w:val="24"/>
              </w:rPr>
              <w:t xml:space="preserve"> making</w:t>
            </w:r>
          </w:p>
        </w:tc>
        <w:tc>
          <w:tcPr>
            <w:tcW w:w="3827" w:type="dxa"/>
          </w:tcPr>
          <w:p w14:paraId="6026BF0D" w14:textId="77777777" w:rsidR="007E162B" w:rsidRPr="00884A47" w:rsidRDefault="007E162B" w:rsidP="005C69A7">
            <w:pPr>
              <w:pStyle w:val="ListParagraph"/>
              <w:numPr>
                <w:ilvl w:val="0"/>
                <w:numId w:val="33"/>
              </w:numPr>
              <w:spacing w:before="120"/>
              <w:ind w:left="357" w:hanging="357"/>
              <w:contextualSpacing w:val="0"/>
              <w:rPr>
                <w:sz w:val="22"/>
              </w:rPr>
            </w:pPr>
            <w:r w:rsidRPr="00884A47">
              <w:rPr>
                <w:sz w:val="22"/>
              </w:rPr>
              <w:t>Increased use of spatial data to generate insights and inform service delivery.</w:t>
            </w:r>
          </w:p>
          <w:p w14:paraId="497C460A" w14:textId="77777777" w:rsidR="007E162B" w:rsidRPr="00884A47" w:rsidRDefault="007E162B" w:rsidP="005C69A7">
            <w:pPr>
              <w:pStyle w:val="ListParagraph"/>
              <w:numPr>
                <w:ilvl w:val="0"/>
                <w:numId w:val="33"/>
              </w:numPr>
              <w:contextualSpacing w:val="0"/>
              <w:rPr>
                <w:sz w:val="22"/>
              </w:rPr>
            </w:pPr>
            <w:r w:rsidRPr="00884A47">
              <w:rPr>
                <w:sz w:val="22"/>
              </w:rPr>
              <w:t xml:space="preserve">Increased influence by ANZLIC across key decision-making forums. </w:t>
            </w:r>
          </w:p>
          <w:p w14:paraId="09B76BDA" w14:textId="77777777" w:rsidR="007E162B" w:rsidRPr="00884A47" w:rsidRDefault="007E162B" w:rsidP="005C69A7">
            <w:pPr>
              <w:rPr>
                <w:sz w:val="22"/>
              </w:rPr>
            </w:pPr>
          </w:p>
        </w:tc>
        <w:tc>
          <w:tcPr>
            <w:tcW w:w="3544" w:type="dxa"/>
          </w:tcPr>
          <w:p w14:paraId="01928B7E" w14:textId="77777777" w:rsidR="007E162B" w:rsidRPr="00884A47" w:rsidRDefault="00921C3D" w:rsidP="005C69A7">
            <w:pPr>
              <w:pStyle w:val="ListParagraph"/>
              <w:numPr>
                <w:ilvl w:val="0"/>
                <w:numId w:val="33"/>
              </w:numPr>
              <w:spacing w:before="120"/>
              <w:ind w:left="357" w:hanging="357"/>
              <w:contextualSpacing w:val="0"/>
              <w:rPr>
                <w:sz w:val="22"/>
              </w:rPr>
            </w:pPr>
            <w:r w:rsidRPr="00884A47">
              <w:rPr>
                <w:sz w:val="22"/>
              </w:rPr>
              <w:t xml:space="preserve">Improved government service delivery, decision-making and place-based policy via increased use of spatial intelligence. </w:t>
            </w:r>
          </w:p>
          <w:p w14:paraId="5CB15054" w14:textId="1EDA9F4B" w:rsidR="00921C3D" w:rsidRPr="00884A47" w:rsidRDefault="00921C3D" w:rsidP="005C69A7">
            <w:pPr>
              <w:pStyle w:val="ListParagraph"/>
              <w:numPr>
                <w:ilvl w:val="0"/>
                <w:numId w:val="33"/>
              </w:numPr>
              <w:contextualSpacing w:val="0"/>
              <w:rPr>
                <w:sz w:val="22"/>
              </w:rPr>
            </w:pPr>
            <w:r w:rsidRPr="00884A47">
              <w:rPr>
                <w:sz w:val="22"/>
              </w:rPr>
              <w:t xml:space="preserve">Greater use of spatial data to develop innovative new products and services. </w:t>
            </w:r>
          </w:p>
        </w:tc>
      </w:tr>
      <w:tr w:rsidR="007E162B" w14:paraId="3CB33142" w14:textId="77777777" w:rsidTr="00572033">
        <w:tc>
          <w:tcPr>
            <w:tcW w:w="2547" w:type="dxa"/>
            <w:shd w:val="clear" w:color="auto" w:fill="006699"/>
            <w:vAlign w:val="center"/>
          </w:tcPr>
          <w:p w14:paraId="591B70F1" w14:textId="6DFE1D76" w:rsidR="007E162B" w:rsidRPr="00884A47" w:rsidRDefault="007E162B" w:rsidP="00BF69E0">
            <w:pPr>
              <w:spacing w:after="0"/>
              <w:rPr>
                <w:b/>
                <w:sz w:val="24"/>
              </w:rPr>
            </w:pPr>
            <w:r w:rsidRPr="00884A47">
              <w:rPr>
                <w:b/>
                <w:color w:val="FFFFFF" w:themeColor="background1"/>
                <w:sz w:val="24"/>
              </w:rPr>
              <w:t>Spatial capabilities for the future</w:t>
            </w:r>
          </w:p>
        </w:tc>
        <w:tc>
          <w:tcPr>
            <w:tcW w:w="3827" w:type="dxa"/>
          </w:tcPr>
          <w:p w14:paraId="0CC8B481" w14:textId="767F4EA8" w:rsidR="007E162B" w:rsidRPr="002D13FC" w:rsidRDefault="007E162B" w:rsidP="005C69A7">
            <w:pPr>
              <w:pStyle w:val="ListParagraph"/>
              <w:numPr>
                <w:ilvl w:val="0"/>
                <w:numId w:val="34"/>
              </w:numPr>
              <w:spacing w:before="120"/>
              <w:ind w:left="357" w:hanging="357"/>
              <w:contextualSpacing w:val="0"/>
              <w:rPr>
                <w:sz w:val="22"/>
              </w:rPr>
            </w:pPr>
            <w:r w:rsidRPr="00884A47">
              <w:rPr>
                <w:sz w:val="22"/>
              </w:rPr>
              <w:t>Progress to promote diversity and inclusion and gr</w:t>
            </w:r>
            <w:r w:rsidR="002D13FC">
              <w:rPr>
                <w:sz w:val="22"/>
              </w:rPr>
              <w:t>ow and share spatial capability.</w:t>
            </w:r>
          </w:p>
        </w:tc>
        <w:tc>
          <w:tcPr>
            <w:tcW w:w="3544" w:type="dxa"/>
          </w:tcPr>
          <w:p w14:paraId="0AC1825F" w14:textId="487A2EB3" w:rsidR="007E162B" w:rsidRPr="00884A47" w:rsidRDefault="00921C3D" w:rsidP="005C69A7">
            <w:pPr>
              <w:pStyle w:val="ListParagraph"/>
              <w:numPr>
                <w:ilvl w:val="0"/>
                <w:numId w:val="34"/>
              </w:numPr>
              <w:spacing w:before="120"/>
              <w:ind w:left="357" w:hanging="357"/>
              <w:contextualSpacing w:val="0"/>
              <w:rPr>
                <w:sz w:val="22"/>
              </w:rPr>
            </w:pPr>
            <w:r w:rsidRPr="00884A47">
              <w:rPr>
                <w:sz w:val="22"/>
              </w:rPr>
              <w:t xml:space="preserve">A spatial sector that is innovative and collaborative, with a culture of sharing spatial expertise and capability. </w:t>
            </w:r>
          </w:p>
        </w:tc>
      </w:tr>
      <w:tr w:rsidR="007E162B" w14:paraId="74B8CD97" w14:textId="77777777" w:rsidTr="00572033">
        <w:tc>
          <w:tcPr>
            <w:tcW w:w="2547" w:type="dxa"/>
            <w:shd w:val="clear" w:color="auto" w:fill="006699"/>
            <w:vAlign w:val="center"/>
          </w:tcPr>
          <w:p w14:paraId="76A76433" w14:textId="662651C9" w:rsidR="007E162B" w:rsidRPr="00884A47" w:rsidRDefault="007E162B" w:rsidP="00BF69E0">
            <w:pPr>
              <w:spacing w:after="0"/>
              <w:rPr>
                <w:b/>
                <w:sz w:val="24"/>
              </w:rPr>
            </w:pPr>
            <w:r w:rsidRPr="00884A47">
              <w:rPr>
                <w:b/>
                <w:color w:val="FFFFFF" w:themeColor="background1"/>
                <w:sz w:val="24"/>
              </w:rPr>
              <w:t>Future proofing – R&amp;D and technology</w:t>
            </w:r>
          </w:p>
        </w:tc>
        <w:tc>
          <w:tcPr>
            <w:tcW w:w="3827" w:type="dxa"/>
          </w:tcPr>
          <w:p w14:paraId="160F6A8B" w14:textId="77777777" w:rsidR="007E162B" w:rsidRPr="00884A47" w:rsidRDefault="007E162B" w:rsidP="005C69A7">
            <w:pPr>
              <w:pStyle w:val="ListParagraph"/>
              <w:numPr>
                <w:ilvl w:val="0"/>
                <w:numId w:val="34"/>
              </w:numPr>
              <w:spacing w:before="120"/>
              <w:ind w:left="357" w:hanging="357"/>
              <w:contextualSpacing w:val="0"/>
              <w:rPr>
                <w:sz w:val="22"/>
              </w:rPr>
            </w:pPr>
            <w:r w:rsidRPr="00884A47">
              <w:rPr>
                <w:sz w:val="22"/>
              </w:rPr>
              <w:t>Increased adoption of new and emerging technologies to harness spatial data.</w:t>
            </w:r>
          </w:p>
          <w:p w14:paraId="0EBBEBB2" w14:textId="1F8A154E" w:rsidR="007E162B" w:rsidRPr="00884A47" w:rsidRDefault="007E162B" w:rsidP="005C69A7">
            <w:pPr>
              <w:pStyle w:val="ListParagraph"/>
              <w:numPr>
                <w:ilvl w:val="0"/>
                <w:numId w:val="34"/>
              </w:numPr>
              <w:contextualSpacing w:val="0"/>
              <w:rPr>
                <w:sz w:val="22"/>
              </w:rPr>
            </w:pPr>
            <w:r w:rsidRPr="00884A47">
              <w:rPr>
                <w:sz w:val="22"/>
              </w:rPr>
              <w:t xml:space="preserve">Increased progress on spatial data research and development. </w:t>
            </w:r>
          </w:p>
        </w:tc>
        <w:tc>
          <w:tcPr>
            <w:tcW w:w="3544" w:type="dxa"/>
          </w:tcPr>
          <w:p w14:paraId="5A4DC62F" w14:textId="30C48E6A" w:rsidR="007E162B" w:rsidRPr="00884A47" w:rsidRDefault="00921C3D" w:rsidP="005C69A7">
            <w:pPr>
              <w:pStyle w:val="ListParagraph"/>
              <w:numPr>
                <w:ilvl w:val="0"/>
                <w:numId w:val="34"/>
              </w:numPr>
              <w:spacing w:before="120"/>
              <w:ind w:left="357" w:hanging="357"/>
              <w:contextualSpacing w:val="0"/>
              <w:rPr>
                <w:sz w:val="22"/>
              </w:rPr>
            </w:pPr>
            <w:r w:rsidRPr="00884A47">
              <w:rPr>
                <w:sz w:val="22"/>
              </w:rPr>
              <w:t xml:space="preserve">Effective collaboration across government, industry and the research sector to deliver new spatial capabilities, R&amp;D and decision-making tools. </w:t>
            </w:r>
          </w:p>
        </w:tc>
      </w:tr>
    </w:tbl>
    <w:p w14:paraId="5FE17EA2" w14:textId="77777777" w:rsidR="00572033" w:rsidRDefault="00572033" w:rsidP="00C56F63">
      <w:pPr>
        <w:pStyle w:val="Heading2"/>
        <w:rPr>
          <w:color w:val="339933"/>
        </w:rPr>
      </w:pPr>
    </w:p>
    <w:p w14:paraId="65E58664" w14:textId="68C3F30D" w:rsidR="00C56F63" w:rsidRPr="00F651CC" w:rsidRDefault="00572033" w:rsidP="00C56F63">
      <w:pPr>
        <w:pStyle w:val="Heading2"/>
        <w:rPr>
          <w:color w:val="339933"/>
        </w:rPr>
      </w:pPr>
      <w:r>
        <w:rPr>
          <w:color w:val="339933"/>
        </w:rPr>
        <w:br w:type="column"/>
      </w:r>
      <w:r w:rsidR="002C7B22" w:rsidRPr="00F651CC">
        <w:rPr>
          <w:color w:val="339933"/>
        </w:rPr>
        <w:t>Major five</w:t>
      </w:r>
      <w:r w:rsidR="00C56F63" w:rsidRPr="00F651CC">
        <w:rPr>
          <w:color w:val="339933"/>
        </w:rPr>
        <w:t xml:space="preserve"> year initiatives </w:t>
      </w:r>
    </w:p>
    <w:p w14:paraId="30E75F78" w14:textId="37463AFD" w:rsidR="002E3CC5" w:rsidRPr="00884A47" w:rsidRDefault="002E3CC5" w:rsidP="002E3CC5">
      <w:pPr>
        <w:rPr>
          <w:sz w:val="22"/>
        </w:rPr>
      </w:pPr>
      <w:r w:rsidRPr="00884A47">
        <w:rPr>
          <w:sz w:val="22"/>
        </w:rPr>
        <w:t xml:space="preserve">ANZLIC will progress these initiatives to implement its strategic priorities. </w:t>
      </w:r>
    </w:p>
    <w:p w14:paraId="5B6F38BB" w14:textId="2AD9FB84" w:rsidR="002E3CC5" w:rsidRPr="006C4CEA" w:rsidRDefault="002E3CC5" w:rsidP="00F851DA">
      <w:pPr>
        <w:pStyle w:val="ListParagraph"/>
        <w:numPr>
          <w:ilvl w:val="0"/>
          <w:numId w:val="6"/>
        </w:numPr>
        <w:spacing w:line="276" w:lineRule="auto"/>
        <w:contextualSpacing w:val="0"/>
        <w:rPr>
          <w:b/>
          <w:color w:val="0070C0"/>
          <w:sz w:val="24"/>
          <w:szCs w:val="20"/>
        </w:rPr>
      </w:pPr>
      <w:r w:rsidRPr="006C4CEA">
        <w:rPr>
          <w:b/>
          <w:color w:val="0070C0"/>
          <w:sz w:val="24"/>
          <w:szCs w:val="20"/>
        </w:rPr>
        <w:t xml:space="preserve">Modernise ANZLIC’s </w:t>
      </w:r>
      <w:r w:rsidRPr="006C4CEA">
        <w:rPr>
          <w:b/>
          <w:color w:val="0070AE" w:themeColor="accent2" w:themeTint="BF"/>
          <w:sz w:val="24"/>
          <w:szCs w:val="20"/>
        </w:rPr>
        <w:t>Foundation</w:t>
      </w:r>
      <w:r w:rsidRPr="006C4CEA">
        <w:rPr>
          <w:b/>
          <w:color w:val="0070C0"/>
          <w:sz w:val="24"/>
          <w:szCs w:val="20"/>
        </w:rPr>
        <w:t xml:space="preserve"> Spatial Data Framework (FSDF)</w:t>
      </w:r>
    </w:p>
    <w:p w14:paraId="0792C961" w14:textId="25443A39" w:rsidR="002E3CC5" w:rsidRPr="00884A47" w:rsidRDefault="002E3CC5" w:rsidP="00F851DA">
      <w:pPr>
        <w:pStyle w:val="ListParagraph"/>
        <w:spacing w:line="276" w:lineRule="auto"/>
        <w:ind w:left="360"/>
        <w:contextualSpacing w:val="0"/>
        <w:rPr>
          <w:sz w:val="22"/>
          <w:szCs w:val="20"/>
        </w:rPr>
      </w:pPr>
      <w:r w:rsidRPr="00884A47">
        <w:rPr>
          <w:sz w:val="22"/>
          <w:szCs w:val="20"/>
        </w:rPr>
        <w:t xml:space="preserve">Modernise spatial information to increase its accuracy and reliability and adopt 3D and 4D formats (where applicable) to meet emerging user needs. Review the FSDF to ensure it is fit for future purposes. </w:t>
      </w:r>
    </w:p>
    <w:p w14:paraId="573F0CC7" w14:textId="1CD8D206" w:rsidR="002E3CC5" w:rsidRPr="006C4CEA" w:rsidRDefault="00715010" w:rsidP="00F851DA">
      <w:pPr>
        <w:pStyle w:val="ListParagraph"/>
        <w:numPr>
          <w:ilvl w:val="0"/>
          <w:numId w:val="6"/>
        </w:numPr>
        <w:spacing w:line="276" w:lineRule="auto"/>
        <w:contextualSpacing w:val="0"/>
        <w:rPr>
          <w:b/>
          <w:color w:val="0070C0"/>
          <w:sz w:val="24"/>
          <w:szCs w:val="20"/>
        </w:rPr>
      </w:pPr>
      <w:r w:rsidRPr="006C4CEA">
        <w:rPr>
          <w:b/>
          <w:color w:val="0070C0"/>
          <w:sz w:val="24"/>
          <w:szCs w:val="20"/>
        </w:rPr>
        <w:t>D</w:t>
      </w:r>
      <w:r w:rsidR="00C24C1D" w:rsidRPr="006C4CEA">
        <w:rPr>
          <w:b/>
          <w:color w:val="0070C0"/>
          <w:sz w:val="24"/>
          <w:szCs w:val="20"/>
        </w:rPr>
        <w:t xml:space="preserve">igital </w:t>
      </w:r>
      <w:r w:rsidR="001E22AE" w:rsidRPr="006C4CEA">
        <w:rPr>
          <w:b/>
          <w:color w:val="0070C0"/>
          <w:sz w:val="24"/>
          <w:szCs w:val="20"/>
        </w:rPr>
        <w:t>t</w:t>
      </w:r>
      <w:r w:rsidR="00C24C1D" w:rsidRPr="006C4CEA">
        <w:rPr>
          <w:b/>
          <w:color w:val="0070C0"/>
          <w:sz w:val="24"/>
          <w:szCs w:val="20"/>
        </w:rPr>
        <w:t xml:space="preserve">wins and </w:t>
      </w:r>
      <w:r w:rsidR="001E22AE" w:rsidRPr="006C4CEA">
        <w:rPr>
          <w:b/>
          <w:color w:val="0070C0"/>
          <w:sz w:val="24"/>
          <w:szCs w:val="20"/>
        </w:rPr>
        <w:t>s</w:t>
      </w:r>
      <w:r w:rsidR="00C24C1D" w:rsidRPr="006C4CEA">
        <w:rPr>
          <w:b/>
          <w:color w:val="0070C0"/>
          <w:sz w:val="24"/>
          <w:szCs w:val="20"/>
        </w:rPr>
        <w:t xml:space="preserve">mart </w:t>
      </w:r>
      <w:r w:rsidR="001E22AE" w:rsidRPr="006C4CEA">
        <w:rPr>
          <w:b/>
          <w:color w:val="0070C0"/>
          <w:sz w:val="24"/>
          <w:szCs w:val="20"/>
        </w:rPr>
        <w:t>c</w:t>
      </w:r>
      <w:r w:rsidR="00E10859" w:rsidRPr="006C4CEA">
        <w:rPr>
          <w:b/>
          <w:color w:val="0070C0"/>
          <w:sz w:val="24"/>
          <w:szCs w:val="20"/>
        </w:rPr>
        <w:t>ities</w:t>
      </w:r>
    </w:p>
    <w:p w14:paraId="09F29E37" w14:textId="28DA13AC" w:rsidR="0008149D" w:rsidRPr="00884A47" w:rsidRDefault="00715010" w:rsidP="00F851DA">
      <w:pPr>
        <w:pStyle w:val="ListParagraph"/>
        <w:spacing w:line="276" w:lineRule="auto"/>
        <w:ind w:left="360"/>
        <w:contextualSpacing w:val="0"/>
        <w:rPr>
          <w:b/>
          <w:sz w:val="22"/>
          <w:szCs w:val="20"/>
        </w:rPr>
      </w:pPr>
      <w:r w:rsidRPr="00884A47">
        <w:rPr>
          <w:sz w:val="22"/>
          <w:szCs w:val="20"/>
        </w:rPr>
        <w:t xml:space="preserve">Support the development of standards based digital twins in accordance with the </w:t>
      </w:r>
      <w:r w:rsidR="00364216" w:rsidRPr="00884A47">
        <w:rPr>
          <w:i/>
          <w:sz w:val="22"/>
          <w:szCs w:val="20"/>
        </w:rPr>
        <w:t xml:space="preserve">Principles </w:t>
      </w:r>
      <w:r w:rsidR="009F456B" w:rsidRPr="00884A47">
        <w:rPr>
          <w:i/>
          <w:sz w:val="22"/>
          <w:szCs w:val="20"/>
        </w:rPr>
        <w:t>for Spatially Enabled Digital Twins of</w:t>
      </w:r>
      <w:r w:rsidR="00364216" w:rsidRPr="00884A47">
        <w:rPr>
          <w:i/>
          <w:sz w:val="22"/>
          <w:szCs w:val="20"/>
        </w:rPr>
        <w:t xml:space="preserve"> </w:t>
      </w:r>
      <w:r w:rsidR="0007365A" w:rsidRPr="00884A47">
        <w:rPr>
          <w:i/>
          <w:sz w:val="22"/>
          <w:szCs w:val="20"/>
        </w:rPr>
        <w:t xml:space="preserve">the Built and Natural Environment in </w:t>
      </w:r>
      <w:r w:rsidR="00364216" w:rsidRPr="00884A47">
        <w:rPr>
          <w:i/>
          <w:sz w:val="22"/>
          <w:szCs w:val="20"/>
        </w:rPr>
        <w:t>Australia</w:t>
      </w:r>
      <w:r w:rsidRPr="00884A47">
        <w:rPr>
          <w:sz w:val="22"/>
          <w:szCs w:val="20"/>
        </w:rPr>
        <w:t xml:space="preserve">. </w:t>
      </w:r>
    </w:p>
    <w:p w14:paraId="72BFBCBA" w14:textId="77777777" w:rsidR="002E3CC5" w:rsidRPr="006C4CEA" w:rsidRDefault="00B91D1A" w:rsidP="00F851DA">
      <w:pPr>
        <w:pStyle w:val="ListParagraph"/>
        <w:numPr>
          <w:ilvl w:val="0"/>
          <w:numId w:val="6"/>
        </w:numPr>
        <w:spacing w:line="276" w:lineRule="auto"/>
        <w:contextualSpacing w:val="0"/>
        <w:rPr>
          <w:b/>
          <w:color w:val="0070C0"/>
          <w:sz w:val="24"/>
          <w:szCs w:val="20"/>
        </w:rPr>
      </w:pPr>
      <w:r w:rsidRPr="006C4CEA">
        <w:rPr>
          <w:b/>
          <w:color w:val="0070C0"/>
          <w:sz w:val="24"/>
          <w:szCs w:val="20"/>
        </w:rPr>
        <w:t>Australian Geospatial Reference System (AGRS)</w:t>
      </w:r>
      <w:r w:rsidR="00EA152D" w:rsidRPr="006C4CEA">
        <w:rPr>
          <w:b/>
          <w:color w:val="0070C0"/>
          <w:sz w:val="24"/>
          <w:szCs w:val="20"/>
        </w:rPr>
        <w:t xml:space="preserve"> modernisation</w:t>
      </w:r>
    </w:p>
    <w:p w14:paraId="6E4BB49B" w14:textId="759C2F6E" w:rsidR="0008149D" w:rsidRPr="00884A47" w:rsidRDefault="00FF61FB" w:rsidP="00F851DA">
      <w:pPr>
        <w:pStyle w:val="ListParagraph"/>
        <w:spacing w:line="276" w:lineRule="auto"/>
        <w:ind w:left="360"/>
        <w:contextualSpacing w:val="0"/>
        <w:rPr>
          <w:b/>
          <w:sz w:val="22"/>
          <w:szCs w:val="20"/>
        </w:rPr>
      </w:pPr>
      <w:r w:rsidRPr="00884A47">
        <w:rPr>
          <w:sz w:val="22"/>
          <w:szCs w:val="20"/>
        </w:rPr>
        <w:t>Collaborat</w:t>
      </w:r>
      <w:r w:rsidR="002658FA" w:rsidRPr="00884A47">
        <w:rPr>
          <w:sz w:val="22"/>
          <w:szCs w:val="20"/>
        </w:rPr>
        <w:t>e</w:t>
      </w:r>
      <w:r w:rsidR="00E804FF" w:rsidRPr="00884A47">
        <w:rPr>
          <w:sz w:val="22"/>
          <w:szCs w:val="20"/>
        </w:rPr>
        <w:t xml:space="preserve"> </w:t>
      </w:r>
      <w:r w:rsidRPr="00884A47">
        <w:rPr>
          <w:sz w:val="22"/>
          <w:szCs w:val="20"/>
        </w:rPr>
        <w:t xml:space="preserve">to </w:t>
      </w:r>
      <w:r w:rsidR="00656421" w:rsidRPr="00884A47">
        <w:rPr>
          <w:sz w:val="22"/>
          <w:szCs w:val="20"/>
        </w:rPr>
        <w:t>implement</w:t>
      </w:r>
      <w:r w:rsidRPr="00884A47">
        <w:rPr>
          <w:sz w:val="22"/>
          <w:szCs w:val="20"/>
        </w:rPr>
        <w:t xml:space="preserve"> </w:t>
      </w:r>
      <w:r w:rsidR="00EA152D" w:rsidRPr="00884A47">
        <w:rPr>
          <w:sz w:val="22"/>
          <w:szCs w:val="20"/>
        </w:rPr>
        <w:t>the Geocentric Datum of Australia 2020 (</w:t>
      </w:r>
      <w:r w:rsidRPr="00884A47">
        <w:rPr>
          <w:sz w:val="22"/>
          <w:szCs w:val="20"/>
        </w:rPr>
        <w:t>GDA2020</w:t>
      </w:r>
      <w:r w:rsidR="00EA152D" w:rsidRPr="00884A47">
        <w:rPr>
          <w:sz w:val="22"/>
          <w:szCs w:val="20"/>
        </w:rPr>
        <w:t>)</w:t>
      </w:r>
      <w:r w:rsidR="00656421" w:rsidRPr="00884A47">
        <w:rPr>
          <w:sz w:val="22"/>
          <w:szCs w:val="20"/>
        </w:rPr>
        <w:t xml:space="preserve">, </w:t>
      </w:r>
      <w:r w:rsidR="009F456B" w:rsidRPr="00884A47">
        <w:rPr>
          <w:sz w:val="22"/>
          <w:szCs w:val="20"/>
        </w:rPr>
        <w:t xml:space="preserve">and </w:t>
      </w:r>
      <w:r w:rsidR="00656421" w:rsidRPr="00884A47">
        <w:rPr>
          <w:sz w:val="22"/>
          <w:szCs w:val="20"/>
        </w:rPr>
        <w:t>introduce new reference frames such as the Australian Terrestrial Reference Frame (ATRF) and Australian Vertical Working Surface (AVWS).</w:t>
      </w:r>
    </w:p>
    <w:p w14:paraId="086BDF4A" w14:textId="77777777" w:rsidR="002E3CC5" w:rsidRPr="006C4CEA" w:rsidRDefault="00E70D73" w:rsidP="00F851DA">
      <w:pPr>
        <w:pStyle w:val="ListParagraph"/>
        <w:numPr>
          <w:ilvl w:val="0"/>
          <w:numId w:val="6"/>
        </w:numPr>
        <w:spacing w:line="276" w:lineRule="auto"/>
        <w:contextualSpacing w:val="0"/>
        <w:rPr>
          <w:b/>
          <w:color w:val="0070C0"/>
          <w:sz w:val="24"/>
          <w:szCs w:val="20"/>
        </w:rPr>
      </w:pPr>
      <w:r w:rsidRPr="006C4CEA">
        <w:rPr>
          <w:b/>
          <w:color w:val="0070C0"/>
          <w:sz w:val="24"/>
          <w:szCs w:val="20"/>
        </w:rPr>
        <w:t>Improved</w:t>
      </w:r>
      <w:r w:rsidR="002E3CC5" w:rsidRPr="006C4CEA">
        <w:rPr>
          <w:b/>
          <w:color w:val="0070C0"/>
          <w:sz w:val="24"/>
          <w:szCs w:val="20"/>
        </w:rPr>
        <w:t xml:space="preserve"> spatial data delivery</w:t>
      </w:r>
    </w:p>
    <w:p w14:paraId="34209CF4" w14:textId="2D61BC80" w:rsidR="0008149D" w:rsidRPr="00884A47" w:rsidRDefault="00565E17" w:rsidP="00F851DA">
      <w:pPr>
        <w:pStyle w:val="ListParagraph"/>
        <w:spacing w:line="276" w:lineRule="auto"/>
        <w:ind w:left="360"/>
        <w:contextualSpacing w:val="0"/>
        <w:rPr>
          <w:b/>
          <w:sz w:val="22"/>
          <w:szCs w:val="20"/>
        </w:rPr>
      </w:pPr>
      <w:r w:rsidRPr="00884A47">
        <w:rPr>
          <w:sz w:val="22"/>
          <w:szCs w:val="20"/>
        </w:rPr>
        <w:t>Explor</w:t>
      </w:r>
      <w:r w:rsidR="00F7690A" w:rsidRPr="00884A47">
        <w:rPr>
          <w:sz w:val="22"/>
          <w:szCs w:val="20"/>
        </w:rPr>
        <w:t>e</w:t>
      </w:r>
      <w:r w:rsidRPr="00884A47">
        <w:rPr>
          <w:sz w:val="22"/>
          <w:szCs w:val="20"/>
        </w:rPr>
        <w:t xml:space="preserve"> improved, more efficient approaches to deliver </w:t>
      </w:r>
      <w:r w:rsidR="00E70D73" w:rsidRPr="00884A47">
        <w:rPr>
          <w:sz w:val="22"/>
          <w:szCs w:val="20"/>
        </w:rPr>
        <w:t xml:space="preserve">spatial information and </w:t>
      </w:r>
      <w:r w:rsidRPr="00884A47">
        <w:rPr>
          <w:sz w:val="22"/>
          <w:szCs w:val="20"/>
        </w:rPr>
        <w:t>data across jurisdictions.</w:t>
      </w:r>
    </w:p>
    <w:p w14:paraId="43FCA4B6" w14:textId="77777777" w:rsidR="002E3CC5" w:rsidRPr="006C4CEA" w:rsidRDefault="00565E17" w:rsidP="00F851DA">
      <w:pPr>
        <w:pStyle w:val="ListParagraph"/>
        <w:numPr>
          <w:ilvl w:val="0"/>
          <w:numId w:val="6"/>
        </w:numPr>
        <w:spacing w:line="276" w:lineRule="auto"/>
        <w:contextualSpacing w:val="0"/>
        <w:rPr>
          <w:b/>
          <w:color w:val="0070C0"/>
          <w:sz w:val="24"/>
          <w:szCs w:val="20"/>
        </w:rPr>
      </w:pPr>
      <w:r w:rsidRPr="006C4CEA">
        <w:rPr>
          <w:b/>
          <w:color w:val="0070C0"/>
          <w:sz w:val="24"/>
          <w:szCs w:val="20"/>
        </w:rPr>
        <w:t xml:space="preserve">Coordinated </w:t>
      </w:r>
      <w:r w:rsidR="009F456B" w:rsidRPr="006C4CEA">
        <w:rPr>
          <w:b/>
          <w:color w:val="0070C0"/>
          <w:sz w:val="24"/>
          <w:szCs w:val="20"/>
        </w:rPr>
        <w:t>earth observation data</w:t>
      </w:r>
      <w:r w:rsidR="002E3CC5" w:rsidRPr="006C4CEA">
        <w:rPr>
          <w:b/>
          <w:color w:val="0070C0"/>
          <w:sz w:val="24"/>
          <w:szCs w:val="20"/>
        </w:rPr>
        <w:t xml:space="preserve"> acquisition</w:t>
      </w:r>
    </w:p>
    <w:p w14:paraId="6C57D88D" w14:textId="2CEFB0C9" w:rsidR="005B6A63" w:rsidRPr="00884A47" w:rsidRDefault="00565E17" w:rsidP="00F851DA">
      <w:pPr>
        <w:pStyle w:val="ListParagraph"/>
        <w:spacing w:line="276" w:lineRule="auto"/>
        <w:ind w:left="360"/>
        <w:contextualSpacing w:val="0"/>
        <w:rPr>
          <w:b/>
          <w:sz w:val="22"/>
          <w:szCs w:val="20"/>
        </w:rPr>
      </w:pPr>
      <w:r w:rsidRPr="00884A47">
        <w:rPr>
          <w:sz w:val="22"/>
          <w:szCs w:val="20"/>
        </w:rPr>
        <w:t xml:space="preserve">Review existing </w:t>
      </w:r>
      <w:r w:rsidR="009F456B" w:rsidRPr="00884A47">
        <w:rPr>
          <w:sz w:val="22"/>
          <w:szCs w:val="20"/>
        </w:rPr>
        <w:t>earth observation</w:t>
      </w:r>
      <w:r w:rsidRPr="00884A47">
        <w:rPr>
          <w:sz w:val="22"/>
          <w:szCs w:val="20"/>
        </w:rPr>
        <w:t xml:space="preserve"> acquisition approaches and identify opportunities to reduce costs, collaborate on procurement, achieve whole-of-economy licencing, and leverage new capabilities.</w:t>
      </w:r>
    </w:p>
    <w:p w14:paraId="77B0F278" w14:textId="77777777" w:rsidR="00140DD0" w:rsidRPr="006C4CEA" w:rsidRDefault="00140DD0" w:rsidP="00F851DA">
      <w:pPr>
        <w:pStyle w:val="ListParagraph"/>
        <w:numPr>
          <w:ilvl w:val="0"/>
          <w:numId w:val="6"/>
        </w:numPr>
        <w:spacing w:line="276" w:lineRule="auto"/>
        <w:contextualSpacing w:val="0"/>
        <w:rPr>
          <w:b/>
          <w:color w:val="0070C0"/>
          <w:sz w:val="24"/>
          <w:szCs w:val="20"/>
        </w:rPr>
      </w:pPr>
      <w:r w:rsidRPr="006C4CEA">
        <w:rPr>
          <w:b/>
          <w:color w:val="0070C0"/>
          <w:sz w:val="24"/>
          <w:szCs w:val="20"/>
        </w:rPr>
        <w:t>Place names</w:t>
      </w:r>
    </w:p>
    <w:p w14:paraId="2F7C556B" w14:textId="377D8958" w:rsidR="009F456B" w:rsidRPr="00884A47" w:rsidRDefault="009F456B" w:rsidP="00F851DA">
      <w:pPr>
        <w:pStyle w:val="ListParagraph"/>
        <w:spacing w:line="276" w:lineRule="auto"/>
        <w:ind w:left="360"/>
        <w:contextualSpacing w:val="0"/>
        <w:rPr>
          <w:b/>
          <w:sz w:val="22"/>
          <w:szCs w:val="20"/>
        </w:rPr>
      </w:pPr>
      <w:r w:rsidRPr="00884A47">
        <w:rPr>
          <w:sz w:val="22"/>
          <w:szCs w:val="20"/>
        </w:rPr>
        <w:t xml:space="preserve">Explore opportunities to improve place naming data, including </w:t>
      </w:r>
      <w:r w:rsidR="00656421" w:rsidRPr="00884A47">
        <w:rPr>
          <w:sz w:val="22"/>
          <w:szCs w:val="20"/>
        </w:rPr>
        <w:t>dual place naming.</w:t>
      </w:r>
    </w:p>
    <w:p w14:paraId="59B9E09C" w14:textId="77777777" w:rsidR="00140DD0" w:rsidRPr="006C4CEA" w:rsidRDefault="00656421" w:rsidP="00F851DA">
      <w:pPr>
        <w:pStyle w:val="ListParagraph"/>
        <w:numPr>
          <w:ilvl w:val="0"/>
          <w:numId w:val="6"/>
        </w:numPr>
        <w:spacing w:line="276" w:lineRule="auto"/>
        <w:contextualSpacing w:val="0"/>
        <w:rPr>
          <w:b/>
          <w:color w:val="0070C0"/>
          <w:sz w:val="24"/>
          <w:szCs w:val="20"/>
        </w:rPr>
      </w:pPr>
      <w:r w:rsidRPr="006C4CEA">
        <w:rPr>
          <w:b/>
          <w:color w:val="0070C0"/>
          <w:sz w:val="24"/>
          <w:szCs w:val="20"/>
        </w:rPr>
        <w:t>Space and spatial integration</w:t>
      </w:r>
    </w:p>
    <w:p w14:paraId="44E6B84B" w14:textId="44BDDD64" w:rsidR="00354A3B" w:rsidRPr="00884A47" w:rsidRDefault="00656421" w:rsidP="00F851DA">
      <w:pPr>
        <w:pStyle w:val="ListParagraph"/>
        <w:spacing w:line="276" w:lineRule="auto"/>
        <w:ind w:left="360"/>
        <w:contextualSpacing w:val="0"/>
        <w:rPr>
          <w:sz w:val="22"/>
          <w:szCs w:val="20"/>
        </w:rPr>
      </w:pPr>
      <w:r w:rsidRPr="00884A47">
        <w:rPr>
          <w:sz w:val="22"/>
          <w:szCs w:val="20"/>
        </w:rPr>
        <w:t>Support downstream application of new space and satellite capabilities and data sources to maximise value to information supply chains, particularly for earth observation and positioning.</w:t>
      </w:r>
      <w:r w:rsidR="00354A3B" w:rsidRPr="00884A47">
        <w:rPr>
          <w:sz w:val="22"/>
          <w:szCs w:val="20"/>
        </w:rPr>
        <w:t xml:space="preserve"> </w:t>
      </w:r>
    </w:p>
    <w:p w14:paraId="71AE7F47" w14:textId="75502544" w:rsidR="00354A3B" w:rsidRPr="006C4CEA" w:rsidRDefault="00140DD0" w:rsidP="00F851DA">
      <w:pPr>
        <w:pStyle w:val="ListParagraph"/>
        <w:numPr>
          <w:ilvl w:val="0"/>
          <w:numId w:val="6"/>
        </w:numPr>
        <w:spacing w:line="276" w:lineRule="auto"/>
        <w:contextualSpacing w:val="0"/>
        <w:rPr>
          <w:b/>
          <w:color w:val="0070C0"/>
          <w:sz w:val="24"/>
          <w:szCs w:val="20"/>
        </w:rPr>
      </w:pPr>
      <w:r w:rsidRPr="006C4CEA">
        <w:rPr>
          <w:b/>
          <w:color w:val="0070C0"/>
          <w:sz w:val="24"/>
          <w:szCs w:val="20"/>
        </w:rPr>
        <w:t>Stakeholder engagement</w:t>
      </w:r>
    </w:p>
    <w:p w14:paraId="1BDC8111" w14:textId="374F7E0E" w:rsidR="00140DD0" w:rsidRPr="00884A47" w:rsidRDefault="00140DD0" w:rsidP="00F851DA">
      <w:pPr>
        <w:pStyle w:val="ListParagraph"/>
        <w:spacing w:line="276" w:lineRule="auto"/>
        <w:ind w:left="360"/>
        <w:contextualSpacing w:val="0"/>
        <w:rPr>
          <w:sz w:val="22"/>
          <w:szCs w:val="20"/>
        </w:rPr>
      </w:pPr>
      <w:r w:rsidRPr="00884A47">
        <w:rPr>
          <w:sz w:val="22"/>
          <w:szCs w:val="20"/>
        </w:rPr>
        <w:t xml:space="preserve">Proactively engage across government, industry and the research sector to communicate the value of spatial data and drive increased collaboration and R&amp;D. </w:t>
      </w:r>
    </w:p>
    <w:p w14:paraId="454B012B" w14:textId="77777777" w:rsidR="00140DD0" w:rsidRPr="006C4CEA" w:rsidRDefault="00140DD0" w:rsidP="00F851DA">
      <w:pPr>
        <w:pStyle w:val="ListParagraph"/>
        <w:numPr>
          <w:ilvl w:val="0"/>
          <w:numId w:val="6"/>
        </w:numPr>
        <w:spacing w:line="276" w:lineRule="auto"/>
        <w:contextualSpacing w:val="0"/>
        <w:rPr>
          <w:b/>
          <w:color w:val="0070C0"/>
          <w:sz w:val="24"/>
          <w:szCs w:val="20"/>
        </w:rPr>
      </w:pPr>
      <w:r w:rsidRPr="006C4CEA">
        <w:rPr>
          <w:b/>
          <w:color w:val="0070C0"/>
          <w:sz w:val="24"/>
          <w:szCs w:val="20"/>
        </w:rPr>
        <w:t>Diversity and inclusion</w:t>
      </w:r>
    </w:p>
    <w:p w14:paraId="5BC06548" w14:textId="6978AC5B" w:rsidR="00EA5306" w:rsidRPr="00884A47" w:rsidRDefault="00EA5306" w:rsidP="00F851DA">
      <w:pPr>
        <w:pStyle w:val="ListParagraph"/>
        <w:spacing w:line="276" w:lineRule="auto"/>
        <w:ind w:left="360"/>
        <w:contextualSpacing w:val="0"/>
        <w:rPr>
          <w:b/>
          <w:sz w:val="22"/>
          <w:szCs w:val="20"/>
        </w:rPr>
      </w:pPr>
      <w:r w:rsidRPr="00884A47">
        <w:rPr>
          <w:sz w:val="22"/>
          <w:szCs w:val="20"/>
        </w:rPr>
        <w:t xml:space="preserve">Actively </w:t>
      </w:r>
      <w:r w:rsidR="00216369" w:rsidRPr="00884A47">
        <w:rPr>
          <w:sz w:val="22"/>
          <w:szCs w:val="20"/>
        </w:rPr>
        <w:t>lead</w:t>
      </w:r>
      <w:r w:rsidRPr="00884A47">
        <w:rPr>
          <w:sz w:val="22"/>
          <w:szCs w:val="20"/>
        </w:rPr>
        <w:t xml:space="preserve"> progress on diversity and inclusion in the spatial sector and within ANZLIC jurisdictions.</w:t>
      </w:r>
    </w:p>
    <w:p w14:paraId="1E4771D7" w14:textId="6B9B864F" w:rsidR="00140DD0" w:rsidRPr="00D72A59" w:rsidRDefault="006C4CEA" w:rsidP="00F851DA">
      <w:pPr>
        <w:pStyle w:val="ListParagraph"/>
        <w:numPr>
          <w:ilvl w:val="0"/>
          <w:numId w:val="6"/>
        </w:numPr>
        <w:spacing w:line="276" w:lineRule="auto"/>
        <w:contextualSpacing w:val="0"/>
        <w:rPr>
          <w:color w:val="0070C0"/>
          <w:sz w:val="24"/>
        </w:rPr>
      </w:pPr>
      <w:r>
        <w:rPr>
          <w:b/>
          <w:color w:val="0070AE" w:themeColor="accent2" w:themeTint="BF"/>
          <w:sz w:val="24"/>
          <w:szCs w:val="20"/>
        </w:rPr>
        <w:t xml:space="preserve"> </w:t>
      </w:r>
      <w:r w:rsidR="00140DD0" w:rsidRPr="00D72A59">
        <w:rPr>
          <w:b/>
          <w:color w:val="0070C0"/>
          <w:sz w:val="24"/>
          <w:szCs w:val="20"/>
        </w:rPr>
        <w:t>Skills and capability</w:t>
      </w:r>
    </w:p>
    <w:p w14:paraId="0B073799" w14:textId="7A091038" w:rsidR="00A1685B" w:rsidRPr="00884A47" w:rsidRDefault="00EA5306" w:rsidP="00F851DA">
      <w:pPr>
        <w:pStyle w:val="ListParagraph"/>
        <w:spacing w:line="276" w:lineRule="auto"/>
        <w:ind w:left="360"/>
        <w:contextualSpacing w:val="0"/>
        <w:rPr>
          <w:sz w:val="22"/>
        </w:rPr>
      </w:pPr>
      <w:r w:rsidRPr="00884A47">
        <w:rPr>
          <w:sz w:val="22"/>
          <w:szCs w:val="20"/>
        </w:rPr>
        <w:t>Identify opportunities to address spatial skills shortages and actively shar</w:t>
      </w:r>
      <w:r w:rsidR="00216369" w:rsidRPr="00884A47">
        <w:rPr>
          <w:sz w:val="22"/>
          <w:szCs w:val="20"/>
        </w:rPr>
        <w:t>e</w:t>
      </w:r>
      <w:r w:rsidRPr="00884A47">
        <w:rPr>
          <w:sz w:val="22"/>
          <w:szCs w:val="20"/>
        </w:rPr>
        <w:t xml:space="preserve"> and grow spatial capability.</w:t>
      </w:r>
    </w:p>
    <w:p w14:paraId="5726302F" w14:textId="4E015E1A" w:rsidR="0054452E" w:rsidRDefault="0054452E" w:rsidP="00FF291F">
      <w:pPr>
        <w:spacing w:after="160" w:line="259" w:lineRule="auto"/>
        <w:sectPr w:rsidR="0054452E" w:rsidSect="006706B9">
          <w:type w:val="continuous"/>
          <w:pgSz w:w="11906" w:h="16838"/>
          <w:pgMar w:top="1134" w:right="1134" w:bottom="0" w:left="1134" w:header="709" w:footer="709" w:gutter="0"/>
          <w:cols w:space="709"/>
          <w:docGrid w:linePitch="360"/>
        </w:sectPr>
      </w:pPr>
    </w:p>
    <w:p w14:paraId="1EE28A07" w14:textId="530C922B" w:rsidR="00255252" w:rsidRPr="00007216" w:rsidRDefault="003C26C9" w:rsidP="00007216">
      <w:pPr>
        <w:pStyle w:val="Heading2"/>
        <w:spacing w:before="0"/>
        <w:ind w:left="425"/>
        <w:rPr>
          <w:color w:val="005677" w:themeColor="accent1"/>
        </w:rPr>
      </w:pPr>
      <w:r w:rsidRPr="00977CA6">
        <w:rPr>
          <w:color w:val="005677" w:themeColor="accent1"/>
        </w:rPr>
        <w:t xml:space="preserve">   </w:t>
      </w:r>
      <w:r w:rsidR="00A1685B" w:rsidRPr="00F651CC">
        <w:rPr>
          <w:color w:val="339933"/>
        </w:rPr>
        <w:t>Roadmap</w:t>
      </w:r>
      <w:r w:rsidR="00EF6FE9" w:rsidRPr="00F651CC">
        <w:rPr>
          <w:color w:val="339933"/>
        </w:rPr>
        <w:t xml:space="preserve"> for ANZLIC initiatives</w:t>
      </w:r>
    </w:p>
    <w:tbl>
      <w:tblPr>
        <w:tblStyle w:val="TableGrid"/>
        <w:tblW w:w="15592" w:type="dxa"/>
        <w:tblInd w:w="421" w:type="dxa"/>
        <w:tblLook w:val="04A0" w:firstRow="1" w:lastRow="0" w:firstColumn="1" w:lastColumn="0" w:noHBand="0" w:noVBand="1"/>
      </w:tblPr>
      <w:tblGrid>
        <w:gridCol w:w="2551"/>
        <w:gridCol w:w="4394"/>
        <w:gridCol w:w="4395"/>
        <w:gridCol w:w="4252"/>
      </w:tblGrid>
      <w:tr w:rsidR="00255252" w:rsidRPr="002F5038" w14:paraId="2360E841" w14:textId="77777777" w:rsidTr="00007216">
        <w:trPr>
          <w:trHeight w:val="534"/>
          <w:tblHeader/>
        </w:trPr>
        <w:tc>
          <w:tcPr>
            <w:tcW w:w="2551" w:type="dxa"/>
            <w:shd w:val="clear" w:color="auto" w:fill="006699"/>
            <w:vAlign w:val="center"/>
          </w:tcPr>
          <w:p w14:paraId="05EB29CC" w14:textId="6667F453" w:rsidR="00255252" w:rsidRPr="00884A47" w:rsidRDefault="00255252" w:rsidP="00BF69E0">
            <w:pPr>
              <w:spacing w:after="0"/>
              <w:rPr>
                <w:b/>
                <w:color w:val="FFFFFF" w:themeColor="background1"/>
                <w:sz w:val="24"/>
                <w:szCs w:val="20"/>
              </w:rPr>
            </w:pPr>
            <w:r w:rsidRPr="00884A47">
              <w:rPr>
                <w:b/>
                <w:color w:val="FFFFFF" w:themeColor="background1"/>
                <w:sz w:val="24"/>
                <w:szCs w:val="20"/>
              </w:rPr>
              <w:t xml:space="preserve">Initiatives </w:t>
            </w:r>
          </w:p>
        </w:tc>
        <w:tc>
          <w:tcPr>
            <w:tcW w:w="4394" w:type="dxa"/>
            <w:shd w:val="clear" w:color="auto" w:fill="006699"/>
            <w:vAlign w:val="center"/>
          </w:tcPr>
          <w:p w14:paraId="29AF335A" w14:textId="2AD2CE30" w:rsidR="00255252" w:rsidRPr="00884A47" w:rsidRDefault="00255252" w:rsidP="00BF69E0">
            <w:pPr>
              <w:spacing w:after="0"/>
              <w:rPr>
                <w:color w:val="FFFFFF" w:themeColor="background1"/>
                <w:sz w:val="24"/>
                <w:szCs w:val="20"/>
              </w:rPr>
            </w:pPr>
            <w:r w:rsidRPr="00884A47">
              <w:rPr>
                <w:b/>
                <w:color w:val="FFFFFF" w:themeColor="background1"/>
                <w:sz w:val="24"/>
                <w:szCs w:val="20"/>
              </w:rPr>
              <w:t>Short term</w:t>
            </w:r>
            <w:r w:rsidR="00BF69E0">
              <w:rPr>
                <w:b/>
                <w:color w:val="FFFFFF" w:themeColor="background1"/>
                <w:sz w:val="24"/>
                <w:szCs w:val="20"/>
              </w:rPr>
              <w:t xml:space="preserve"> </w:t>
            </w:r>
            <w:r w:rsidRPr="00884A47">
              <w:rPr>
                <w:b/>
                <w:color w:val="FFFFFF" w:themeColor="background1"/>
                <w:sz w:val="24"/>
                <w:szCs w:val="20"/>
              </w:rPr>
              <w:t>(2020-2021)</w:t>
            </w:r>
          </w:p>
        </w:tc>
        <w:tc>
          <w:tcPr>
            <w:tcW w:w="4395" w:type="dxa"/>
            <w:shd w:val="clear" w:color="auto" w:fill="006699"/>
            <w:vAlign w:val="center"/>
          </w:tcPr>
          <w:p w14:paraId="4151DF08" w14:textId="31BB686D" w:rsidR="00255252" w:rsidRPr="00884A47" w:rsidRDefault="00255252" w:rsidP="00BF69E0">
            <w:pPr>
              <w:spacing w:after="0"/>
              <w:rPr>
                <w:color w:val="FFFFFF" w:themeColor="background1"/>
                <w:sz w:val="24"/>
                <w:szCs w:val="20"/>
              </w:rPr>
            </w:pPr>
            <w:r w:rsidRPr="00884A47">
              <w:rPr>
                <w:b/>
                <w:color w:val="FFFFFF" w:themeColor="background1"/>
                <w:sz w:val="24"/>
                <w:szCs w:val="20"/>
              </w:rPr>
              <w:t>Medium term</w:t>
            </w:r>
            <w:r w:rsidR="00BF69E0">
              <w:rPr>
                <w:b/>
                <w:color w:val="FFFFFF" w:themeColor="background1"/>
                <w:sz w:val="24"/>
                <w:szCs w:val="20"/>
              </w:rPr>
              <w:t xml:space="preserve"> </w:t>
            </w:r>
            <w:r w:rsidRPr="00884A47">
              <w:rPr>
                <w:b/>
                <w:color w:val="FFFFFF" w:themeColor="background1"/>
                <w:sz w:val="24"/>
                <w:szCs w:val="20"/>
              </w:rPr>
              <w:t>(2022-2023)</w:t>
            </w:r>
          </w:p>
        </w:tc>
        <w:tc>
          <w:tcPr>
            <w:tcW w:w="4252" w:type="dxa"/>
            <w:shd w:val="clear" w:color="auto" w:fill="006699"/>
            <w:vAlign w:val="center"/>
          </w:tcPr>
          <w:p w14:paraId="7CE61FDA" w14:textId="40262BC9" w:rsidR="00255252" w:rsidRPr="00884A47" w:rsidRDefault="00255252" w:rsidP="00BF69E0">
            <w:pPr>
              <w:spacing w:after="0"/>
              <w:rPr>
                <w:color w:val="FFFFFF" w:themeColor="background1"/>
                <w:sz w:val="24"/>
                <w:szCs w:val="20"/>
              </w:rPr>
            </w:pPr>
            <w:r w:rsidRPr="00884A47">
              <w:rPr>
                <w:b/>
                <w:color w:val="FFFFFF" w:themeColor="background1"/>
                <w:sz w:val="24"/>
                <w:szCs w:val="20"/>
              </w:rPr>
              <w:t>Long term outcomes</w:t>
            </w:r>
            <w:r w:rsidR="00F41459" w:rsidRPr="00884A47">
              <w:rPr>
                <w:b/>
                <w:color w:val="FFFFFF" w:themeColor="background1"/>
                <w:sz w:val="24"/>
                <w:szCs w:val="20"/>
              </w:rPr>
              <w:t xml:space="preserve"> (2024</w:t>
            </w:r>
            <w:r w:rsidRPr="00884A47">
              <w:rPr>
                <w:b/>
                <w:color w:val="FFFFFF" w:themeColor="background1"/>
                <w:sz w:val="24"/>
                <w:szCs w:val="20"/>
              </w:rPr>
              <w:t>)</w:t>
            </w:r>
          </w:p>
        </w:tc>
      </w:tr>
      <w:tr w:rsidR="00F651CC" w:rsidRPr="002F5038" w14:paraId="4EA089B0" w14:textId="77777777" w:rsidTr="00007216">
        <w:tc>
          <w:tcPr>
            <w:tcW w:w="2551" w:type="dxa"/>
          </w:tcPr>
          <w:p w14:paraId="6EB893C5" w14:textId="231FE4D3" w:rsidR="00F651CC" w:rsidRPr="00884A47" w:rsidRDefault="00F651CC" w:rsidP="00BF69E0">
            <w:pPr>
              <w:pStyle w:val="ListParagraph"/>
              <w:numPr>
                <w:ilvl w:val="0"/>
                <w:numId w:val="38"/>
              </w:numPr>
              <w:spacing w:before="120"/>
              <w:ind w:left="357" w:hanging="357"/>
              <w:rPr>
                <w:b/>
                <w:sz w:val="24"/>
                <w:szCs w:val="24"/>
              </w:rPr>
            </w:pPr>
            <w:r w:rsidRPr="00884A47">
              <w:rPr>
                <w:b/>
                <w:sz w:val="24"/>
                <w:szCs w:val="24"/>
              </w:rPr>
              <w:t xml:space="preserve">Modernise ANZLIC’s Foundation Spatial Data Framework (FSDF) </w:t>
            </w:r>
          </w:p>
        </w:tc>
        <w:tc>
          <w:tcPr>
            <w:tcW w:w="4394" w:type="dxa"/>
          </w:tcPr>
          <w:p w14:paraId="1A07CA49" w14:textId="31F9F758" w:rsidR="00F651CC" w:rsidRPr="00884A47" w:rsidRDefault="00F651CC" w:rsidP="00BF69E0">
            <w:pPr>
              <w:pStyle w:val="ListParagraph"/>
              <w:numPr>
                <w:ilvl w:val="0"/>
                <w:numId w:val="40"/>
              </w:numPr>
              <w:spacing w:before="120"/>
              <w:ind w:left="351" w:hanging="357"/>
              <w:contextualSpacing w:val="0"/>
              <w:rPr>
                <w:sz w:val="22"/>
                <w:szCs w:val="20"/>
              </w:rPr>
            </w:pPr>
            <w:r w:rsidRPr="00884A47">
              <w:rPr>
                <w:sz w:val="22"/>
                <w:szCs w:val="20"/>
              </w:rPr>
              <w:t>Review the FSDF to scope potent</w:t>
            </w:r>
            <w:r w:rsidR="00BF69E0">
              <w:rPr>
                <w:sz w:val="22"/>
                <w:szCs w:val="20"/>
              </w:rPr>
              <w:t>ial alignment with UN-GGIM’s 14 </w:t>
            </w:r>
            <w:r w:rsidRPr="00884A47">
              <w:rPr>
                <w:sz w:val="22"/>
                <w:szCs w:val="20"/>
              </w:rPr>
              <w:t xml:space="preserve">fundamental geospatial themes. </w:t>
            </w:r>
          </w:p>
          <w:p w14:paraId="37E8149B" w14:textId="2B6B5B00" w:rsidR="00F651CC" w:rsidRPr="00884A47" w:rsidRDefault="00F651CC" w:rsidP="00BF69E0">
            <w:pPr>
              <w:pStyle w:val="ListParagraph"/>
              <w:numPr>
                <w:ilvl w:val="0"/>
                <w:numId w:val="40"/>
              </w:numPr>
              <w:ind w:left="357"/>
              <w:contextualSpacing w:val="0"/>
              <w:rPr>
                <w:sz w:val="22"/>
                <w:szCs w:val="20"/>
              </w:rPr>
            </w:pPr>
            <w:r w:rsidRPr="00884A47">
              <w:rPr>
                <w:sz w:val="22"/>
                <w:szCs w:val="20"/>
              </w:rPr>
              <w:t xml:space="preserve">Coordinate development of a transition plan to move </w:t>
            </w:r>
            <w:r w:rsidR="00BF69E0">
              <w:rPr>
                <w:sz w:val="22"/>
                <w:szCs w:val="20"/>
              </w:rPr>
              <w:t xml:space="preserve">to </w:t>
            </w:r>
            <w:r w:rsidRPr="00884A47">
              <w:rPr>
                <w:sz w:val="22"/>
                <w:szCs w:val="20"/>
              </w:rPr>
              <w:t xml:space="preserve">an updated FSDF across jurisdictions. </w:t>
            </w:r>
          </w:p>
          <w:p w14:paraId="5D6B6017" w14:textId="77777777" w:rsidR="00F651CC" w:rsidRPr="00884A47" w:rsidRDefault="00F651CC" w:rsidP="00BF69E0">
            <w:pPr>
              <w:pStyle w:val="ListParagraph"/>
              <w:numPr>
                <w:ilvl w:val="0"/>
                <w:numId w:val="40"/>
              </w:numPr>
              <w:ind w:left="357"/>
              <w:contextualSpacing w:val="0"/>
              <w:rPr>
                <w:sz w:val="22"/>
                <w:szCs w:val="20"/>
              </w:rPr>
            </w:pPr>
            <w:r w:rsidRPr="00884A47">
              <w:rPr>
                <w:sz w:val="22"/>
                <w:szCs w:val="20"/>
              </w:rPr>
              <w:t>Progress projects on cadastral digitisation, accuracy, terminology, linked rights, restrictions and responsibilities, and cadastral upgrades.</w:t>
            </w:r>
          </w:p>
          <w:p w14:paraId="7B522DC4" w14:textId="77777777" w:rsidR="00F651CC" w:rsidRPr="00884A47" w:rsidRDefault="00F651CC" w:rsidP="00BF69E0">
            <w:pPr>
              <w:pStyle w:val="ListParagraph"/>
              <w:numPr>
                <w:ilvl w:val="0"/>
                <w:numId w:val="40"/>
              </w:numPr>
              <w:ind w:left="357"/>
              <w:contextualSpacing w:val="0"/>
              <w:rPr>
                <w:sz w:val="22"/>
                <w:szCs w:val="20"/>
              </w:rPr>
            </w:pPr>
            <w:r w:rsidRPr="00884A47">
              <w:rPr>
                <w:sz w:val="22"/>
                <w:szCs w:val="20"/>
              </w:rPr>
              <w:t>Coordinate recapture of coastlines, land borders and territorial sea baselines.</w:t>
            </w:r>
          </w:p>
          <w:p w14:paraId="1AB2A91F" w14:textId="77777777" w:rsidR="00F651CC" w:rsidRPr="00884A47" w:rsidRDefault="00F651CC" w:rsidP="00BF69E0">
            <w:pPr>
              <w:pStyle w:val="ListParagraph"/>
              <w:numPr>
                <w:ilvl w:val="0"/>
                <w:numId w:val="40"/>
              </w:numPr>
              <w:ind w:left="357"/>
              <w:contextualSpacing w:val="0"/>
              <w:rPr>
                <w:sz w:val="22"/>
                <w:szCs w:val="20"/>
              </w:rPr>
            </w:pPr>
            <w:r w:rsidRPr="00884A47">
              <w:rPr>
                <w:sz w:val="22"/>
                <w:szCs w:val="20"/>
              </w:rPr>
              <w:t>Implement 3D data for elevation and imagery.</w:t>
            </w:r>
          </w:p>
          <w:p w14:paraId="1A583A82" w14:textId="77777777" w:rsidR="00F651CC" w:rsidRDefault="00F651CC" w:rsidP="00BF69E0">
            <w:pPr>
              <w:pStyle w:val="ListParagraph"/>
              <w:numPr>
                <w:ilvl w:val="0"/>
                <w:numId w:val="40"/>
              </w:numPr>
              <w:ind w:left="357"/>
              <w:contextualSpacing w:val="0"/>
              <w:rPr>
                <w:sz w:val="22"/>
                <w:szCs w:val="20"/>
              </w:rPr>
            </w:pPr>
            <w:r w:rsidRPr="00884A47">
              <w:rPr>
                <w:sz w:val="22"/>
                <w:szCs w:val="20"/>
              </w:rPr>
              <w:t>Review standards for rural and urban addressing, including AS4819.</w:t>
            </w:r>
          </w:p>
          <w:p w14:paraId="45A17A39" w14:textId="77777777" w:rsidR="00007216" w:rsidRDefault="00007216" w:rsidP="00007216">
            <w:pPr>
              <w:ind w:left="-3"/>
            </w:pPr>
          </w:p>
          <w:p w14:paraId="04D10A9C" w14:textId="77777777" w:rsidR="00007216" w:rsidRDefault="00007216" w:rsidP="00007216">
            <w:pPr>
              <w:ind w:left="-3"/>
            </w:pPr>
          </w:p>
          <w:p w14:paraId="6290A7E9" w14:textId="77777777" w:rsidR="00007216" w:rsidRDefault="00007216" w:rsidP="00007216">
            <w:pPr>
              <w:ind w:left="-3"/>
            </w:pPr>
          </w:p>
          <w:p w14:paraId="3A09EB6C" w14:textId="5EDAA3F6" w:rsidR="00007216" w:rsidRPr="00007216" w:rsidRDefault="00007216" w:rsidP="00007216">
            <w:pPr>
              <w:ind w:left="-3"/>
              <w:rPr>
                <w:sz w:val="22"/>
                <w:szCs w:val="20"/>
              </w:rPr>
            </w:pPr>
          </w:p>
        </w:tc>
        <w:tc>
          <w:tcPr>
            <w:tcW w:w="4395" w:type="dxa"/>
          </w:tcPr>
          <w:p w14:paraId="3B64A9FB" w14:textId="77777777" w:rsidR="00F651CC" w:rsidRPr="00884A47" w:rsidRDefault="00F651CC" w:rsidP="00BF69E0">
            <w:pPr>
              <w:pStyle w:val="ListParagraph"/>
              <w:numPr>
                <w:ilvl w:val="0"/>
                <w:numId w:val="37"/>
              </w:numPr>
              <w:spacing w:before="120"/>
              <w:ind w:left="351" w:hanging="357"/>
              <w:contextualSpacing w:val="0"/>
              <w:rPr>
                <w:sz w:val="22"/>
                <w:szCs w:val="20"/>
              </w:rPr>
            </w:pPr>
            <w:r w:rsidRPr="00884A47">
              <w:rPr>
                <w:sz w:val="22"/>
                <w:szCs w:val="20"/>
              </w:rPr>
              <w:t>Implement updated FSDF and communicate to stakeholders.</w:t>
            </w:r>
          </w:p>
          <w:p w14:paraId="1FD9E35E" w14:textId="77777777" w:rsidR="00F651CC" w:rsidRPr="00884A47" w:rsidRDefault="00F651CC" w:rsidP="00BF69E0">
            <w:pPr>
              <w:pStyle w:val="ListParagraph"/>
              <w:numPr>
                <w:ilvl w:val="0"/>
                <w:numId w:val="19"/>
              </w:numPr>
              <w:ind w:left="357"/>
              <w:contextualSpacing w:val="0"/>
              <w:rPr>
                <w:sz w:val="22"/>
                <w:szCs w:val="20"/>
              </w:rPr>
            </w:pPr>
            <w:r w:rsidRPr="00884A47">
              <w:rPr>
                <w:sz w:val="22"/>
                <w:szCs w:val="20"/>
              </w:rPr>
              <w:t>Implement digital workflows and virtual aggregation for national datasets.</w:t>
            </w:r>
          </w:p>
          <w:p w14:paraId="04F4572E" w14:textId="77777777" w:rsidR="00F651CC" w:rsidRPr="00884A47" w:rsidRDefault="00F651CC" w:rsidP="00BF69E0">
            <w:pPr>
              <w:pStyle w:val="ListParagraph"/>
              <w:numPr>
                <w:ilvl w:val="0"/>
                <w:numId w:val="19"/>
              </w:numPr>
              <w:ind w:left="357"/>
              <w:contextualSpacing w:val="0"/>
              <w:rPr>
                <w:sz w:val="22"/>
                <w:szCs w:val="20"/>
              </w:rPr>
            </w:pPr>
            <w:r w:rsidRPr="00884A47">
              <w:rPr>
                <w:sz w:val="22"/>
                <w:szCs w:val="20"/>
              </w:rPr>
              <w:t>Enable all foundation spatial datasets for 3D and 4D applications.</w:t>
            </w:r>
          </w:p>
          <w:p w14:paraId="2CC144DF" w14:textId="77777777" w:rsidR="00F651CC" w:rsidRPr="00884A47" w:rsidRDefault="00F651CC" w:rsidP="00BF69E0">
            <w:pPr>
              <w:pStyle w:val="ListParagraph"/>
              <w:numPr>
                <w:ilvl w:val="0"/>
                <w:numId w:val="19"/>
              </w:numPr>
              <w:ind w:left="357"/>
              <w:contextualSpacing w:val="0"/>
              <w:rPr>
                <w:sz w:val="22"/>
                <w:szCs w:val="20"/>
              </w:rPr>
            </w:pPr>
            <w:r w:rsidRPr="00884A47">
              <w:rPr>
                <w:sz w:val="22"/>
                <w:szCs w:val="20"/>
              </w:rPr>
              <w:t>Coordinate foundation spatial data capture to support national-level use cases.</w:t>
            </w:r>
          </w:p>
          <w:p w14:paraId="299955A5" w14:textId="77777777" w:rsidR="00F651CC" w:rsidRPr="00884A47" w:rsidRDefault="00F651CC" w:rsidP="00BF69E0">
            <w:pPr>
              <w:pStyle w:val="ListParagraph"/>
              <w:ind w:left="357"/>
              <w:contextualSpacing w:val="0"/>
              <w:rPr>
                <w:sz w:val="22"/>
                <w:szCs w:val="20"/>
              </w:rPr>
            </w:pPr>
          </w:p>
        </w:tc>
        <w:tc>
          <w:tcPr>
            <w:tcW w:w="4252" w:type="dxa"/>
          </w:tcPr>
          <w:p w14:paraId="66B5465C" w14:textId="77777777" w:rsidR="00F651CC" w:rsidRPr="00884A47" w:rsidRDefault="00F651CC" w:rsidP="00BF69E0">
            <w:pPr>
              <w:pStyle w:val="ListParagraph"/>
              <w:numPr>
                <w:ilvl w:val="0"/>
                <w:numId w:val="19"/>
              </w:numPr>
              <w:spacing w:before="120"/>
              <w:ind w:left="351" w:hanging="357"/>
              <w:contextualSpacing w:val="0"/>
              <w:rPr>
                <w:sz w:val="22"/>
                <w:szCs w:val="20"/>
              </w:rPr>
            </w:pPr>
            <w:r w:rsidRPr="00884A47">
              <w:rPr>
                <w:sz w:val="22"/>
                <w:szCs w:val="20"/>
              </w:rPr>
              <w:t>Foundation spatial data is discoverable, accessible and of the appropriate quality for the broadest possible range of end users.</w:t>
            </w:r>
          </w:p>
          <w:p w14:paraId="53592C89" w14:textId="77777777" w:rsidR="00F651CC" w:rsidRPr="00884A47" w:rsidRDefault="00F651CC" w:rsidP="00BF69E0">
            <w:pPr>
              <w:pStyle w:val="ListParagraph"/>
              <w:numPr>
                <w:ilvl w:val="0"/>
                <w:numId w:val="19"/>
              </w:numPr>
              <w:ind w:left="357"/>
              <w:contextualSpacing w:val="0"/>
              <w:rPr>
                <w:sz w:val="22"/>
                <w:szCs w:val="20"/>
              </w:rPr>
            </w:pPr>
            <w:r w:rsidRPr="00884A47">
              <w:rPr>
                <w:sz w:val="22"/>
                <w:szCs w:val="20"/>
              </w:rPr>
              <w:t>Modernised spatial data is openly available in 3D and 4D formats and complies with open standards.</w:t>
            </w:r>
          </w:p>
          <w:p w14:paraId="1F0E59F0" w14:textId="77777777" w:rsidR="00F651CC" w:rsidRPr="00884A47" w:rsidRDefault="00F651CC" w:rsidP="00BF69E0">
            <w:pPr>
              <w:pStyle w:val="ListParagraph"/>
              <w:numPr>
                <w:ilvl w:val="0"/>
                <w:numId w:val="19"/>
              </w:numPr>
              <w:ind w:left="357"/>
              <w:contextualSpacing w:val="0"/>
              <w:rPr>
                <w:sz w:val="22"/>
                <w:szCs w:val="20"/>
              </w:rPr>
            </w:pPr>
            <w:r w:rsidRPr="00884A47">
              <w:rPr>
                <w:sz w:val="22"/>
                <w:szCs w:val="20"/>
              </w:rPr>
              <w:t xml:space="preserve">The FSDF supports use of spatial data to develop new products and improve service delivery. </w:t>
            </w:r>
          </w:p>
          <w:p w14:paraId="7A775263" w14:textId="049D21AF" w:rsidR="00F651CC" w:rsidRPr="00884A47" w:rsidRDefault="00F651CC" w:rsidP="00BF69E0">
            <w:pPr>
              <w:pStyle w:val="ListParagraph"/>
              <w:numPr>
                <w:ilvl w:val="0"/>
                <w:numId w:val="35"/>
              </w:numPr>
              <w:ind w:left="357"/>
              <w:contextualSpacing w:val="0"/>
              <w:rPr>
                <w:sz w:val="22"/>
                <w:szCs w:val="20"/>
              </w:rPr>
            </w:pPr>
            <w:r w:rsidRPr="00884A47">
              <w:rPr>
                <w:sz w:val="22"/>
                <w:szCs w:val="20"/>
              </w:rPr>
              <w:t>Foundation spatial data supports both national and jurisdiction-level use cases.</w:t>
            </w:r>
          </w:p>
        </w:tc>
      </w:tr>
      <w:tr w:rsidR="00F651CC" w:rsidRPr="002F5038" w14:paraId="1D8C5227" w14:textId="77777777" w:rsidTr="00007216">
        <w:tc>
          <w:tcPr>
            <w:tcW w:w="2551" w:type="dxa"/>
          </w:tcPr>
          <w:p w14:paraId="71887547" w14:textId="4C1C28FC" w:rsidR="00F651CC" w:rsidRPr="00884A47" w:rsidRDefault="00F651CC" w:rsidP="00007216">
            <w:pPr>
              <w:pStyle w:val="ListParagraph"/>
              <w:numPr>
                <w:ilvl w:val="0"/>
                <w:numId w:val="38"/>
              </w:numPr>
              <w:spacing w:before="120"/>
              <w:ind w:left="357" w:hanging="357"/>
              <w:rPr>
                <w:b/>
                <w:sz w:val="24"/>
                <w:szCs w:val="24"/>
              </w:rPr>
            </w:pPr>
            <w:r w:rsidRPr="00884A47">
              <w:rPr>
                <w:b/>
                <w:sz w:val="24"/>
                <w:szCs w:val="24"/>
              </w:rPr>
              <w:t>Digital twins and smart cities</w:t>
            </w:r>
          </w:p>
        </w:tc>
        <w:tc>
          <w:tcPr>
            <w:tcW w:w="4394" w:type="dxa"/>
          </w:tcPr>
          <w:p w14:paraId="359E824E" w14:textId="77777777" w:rsidR="00F651CC" w:rsidRPr="00884A47" w:rsidRDefault="00F651CC" w:rsidP="00007216">
            <w:pPr>
              <w:pStyle w:val="ListParagraph"/>
              <w:numPr>
                <w:ilvl w:val="0"/>
                <w:numId w:val="40"/>
              </w:numPr>
              <w:spacing w:before="120"/>
              <w:ind w:left="357" w:hanging="357"/>
              <w:contextualSpacing w:val="0"/>
              <w:rPr>
                <w:sz w:val="22"/>
                <w:szCs w:val="20"/>
              </w:rPr>
            </w:pPr>
            <w:r w:rsidRPr="00884A47">
              <w:rPr>
                <w:sz w:val="22"/>
                <w:szCs w:val="20"/>
              </w:rPr>
              <w:t xml:space="preserve">Support development and implementation of Australian and New Zealand 3D and 4D Digital Cadastre Data Model and Roadmap for BIM and GIS integration. </w:t>
            </w:r>
          </w:p>
          <w:p w14:paraId="1CF9A83B" w14:textId="77777777" w:rsidR="00F651CC" w:rsidRPr="00884A47" w:rsidRDefault="00F651CC" w:rsidP="00007216">
            <w:pPr>
              <w:pStyle w:val="ListParagraph"/>
              <w:numPr>
                <w:ilvl w:val="0"/>
                <w:numId w:val="40"/>
              </w:numPr>
              <w:ind w:left="357" w:hanging="357"/>
              <w:contextualSpacing w:val="0"/>
              <w:rPr>
                <w:sz w:val="22"/>
                <w:szCs w:val="20"/>
              </w:rPr>
            </w:pPr>
            <w:r w:rsidRPr="00884A47">
              <w:rPr>
                <w:sz w:val="22"/>
                <w:szCs w:val="20"/>
              </w:rPr>
              <w:t>Support implementation of 3D/4D cadastral data.</w:t>
            </w:r>
          </w:p>
          <w:p w14:paraId="30B79442" w14:textId="77777777" w:rsidR="00F651CC" w:rsidRPr="00884A47" w:rsidRDefault="00F651CC" w:rsidP="00007216">
            <w:pPr>
              <w:pStyle w:val="ListParagraph"/>
              <w:numPr>
                <w:ilvl w:val="0"/>
                <w:numId w:val="40"/>
              </w:numPr>
              <w:ind w:left="357" w:hanging="357"/>
              <w:contextualSpacing w:val="0"/>
              <w:rPr>
                <w:sz w:val="22"/>
                <w:szCs w:val="20"/>
              </w:rPr>
            </w:pPr>
            <w:r w:rsidRPr="00884A47">
              <w:rPr>
                <w:sz w:val="22"/>
                <w:szCs w:val="20"/>
              </w:rPr>
              <w:t xml:space="preserve">Support jurisdictional spatially enabled digital twin proof of concept projects and collaboration. </w:t>
            </w:r>
          </w:p>
          <w:p w14:paraId="0DBF83FE" w14:textId="77777777" w:rsidR="00F651CC" w:rsidRPr="00884A47" w:rsidRDefault="00F651CC" w:rsidP="00007216">
            <w:pPr>
              <w:pStyle w:val="ListParagraph"/>
              <w:numPr>
                <w:ilvl w:val="0"/>
                <w:numId w:val="40"/>
              </w:numPr>
              <w:ind w:left="357" w:hanging="357"/>
              <w:contextualSpacing w:val="0"/>
              <w:rPr>
                <w:sz w:val="22"/>
                <w:szCs w:val="20"/>
              </w:rPr>
            </w:pPr>
            <w:r w:rsidRPr="00884A47">
              <w:rPr>
                <w:sz w:val="22"/>
                <w:szCs w:val="20"/>
              </w:rPr>
              <w:t>Engage with the Australian Data and Digital Council (ADDC) on digital twins and eplanning.</w:t>
            </w:r>
          </w:p>
          <w:p w14:paraId="1B0819D5" w14:textId="07375CDA" w:rsidR="00F651CC" w:rsidRPr="00884A47" w:rsidRDefault="00F651CC" w:rsidP="00007216">
            <w:pPr>
              <w:pStyle w:val="ListParagraph"/>
              <w:numPr>
                <w:ilvl w:val="0"/>
                <w:numId w:val="40"/>
              </w:numPr>
              <w:ind w:left="357" w:hanging="357"/>
              <w:contextualSpacing w:val="0"/>
              <w:rPr>
                <w:sz w:val="22"/>
                <w:szCs w:val="20"/>
              </w:rPr>
            </w:pPr>
            <w:r w:rsidRPr="00884A47">
              <w:rPr>
                <w:sz w:val="22"/>
                <w:szCs w:val="20"/>
              </w:rPr>
              <w:t>Collaborate with stakeholders to develop frameworks, guidance and implementation tools for spatially enabled digital twins.</w:t>
            </w:r>
          </w:p>
        </w:tc>
        <w:tc>
          <w:tcPr>
            <w:tcW w:w="4395" w:type="dxa"/>
          </w:tcPr>
          <w:p w14:paraId="0BF6758C" w14:textId="77777777" w:rsidR="00F651CC" w:rsidRPr="00884A47" w:rsidRDefault="00F651CC" w:rsidP="00007216">
            <w:pPr>
              <w:pStyle w:val="ListParagraph"/>
              <w:numPr>
                <w:ilvl w:val="0"/>
                <w:numId w:val="35"/>
              </w:numPr>
              <w:spacing w:before="120"/>
              <w:ind w:left="357" w:hanging="357"/>
              <w:contextualSpacing w:val="0"/>
              <w:rPr>
                <w:sz w:val="22"/>
                <w:szCs w:val="20"/>
              </w:rPr>
            </w:pPr>
            <w:r w:rsidRPr="00884A47">
              <w:rPr>
                <w:sz w:val="22"/>
                <w:szCs w:val="20"/>
              </w:rPr>
              <w:t>Coordinate options to share infrastructure for data management and delivery.</w:t>
            </w:r>
          </w:p>
          <w:p w14:paraId="09083722" w14:textId="77777777" w:rsidR="00F651CC" w:rsidRPr="00884A47" w:rsidRDefault="00F651CC" w:rsidP="00007216">
            <w:pPr>
              <w:pStyle w:val="ListParagraph"/>
              <w:numPr>
                <w:ilvl w:val="0"/>
                <w:numId w:val="35"/>
              </w:numPr>
              <w:ind w:left="357" w:hanging="357"/>
              <w:contextualSpacing w:val="0"/>
              <w:rPr>
                <w:sz w:val="22"/>
                <w:szCs w:val="20"/>
              </w:rPr>
            </w:pPr>
            <w:r w:rsidRPr="00884A47">
              <w:rPr>
                <w:sz w:val="22"/>
                <w:szCs w:val="20"/>
              </w:rPr>
              <w:t xml:space="preserve">Develop and implement relevant standards for spatially enabled digital twins, 3D/4D cadastral data, and BIM and GIS integration. </w:t>
            </w:r>
          </w:p>
          <w:p w14:paraId="20D3CFBB" w14:textId="1B37BA77" w:rsidR="00F651CC" w:rsidRPr="00884A47" w:rsidRDefault="00F651CC" w:rsidP="00007216">
            <w:pPr>
              <w:pStyle w:val="ListParagraph"/>
              <w:numPr>
                <w:ilvl w:val="0"/>
                <w:numId w:val="35"/>
              </w:numPr>
              <w:ind w:left="357" w:hanging="357"/>
              <w:contextualSpacing w:val="0"/>
              <w:rPr>
                <w:sz w:val="22"/>
                <w:szCs w:val="20"/>
              </w:rPr>
            </w:pPr>
            <w:r w:rsidRPr="00884A47">
              <w:rPr>
                <w:sz w:val="22"/>
                <w:szCs w:val="20"/>
              </w:rPr>
              <w:t>Support collaboration across jurisdictions to implement common 3D cadastral data model, standards and transfer protocols.</w:t>
            </w:r>
          </w:p>
        </w:tc>
        <w:tc>
          <w:tcPr>
            <w:tcW w:w="4252" w:type="dxa"/>
          </w:tcPr>
          <w:p w14:paraId="33B5931D" w14:textId="77777777" w:rsidR="00F651CC" w:rsidRPr="00884A47" w:rsidRDefault="00F651CC" w:rsidP="00007216">
            <w:pPr>
              <w:pStyle w:val="ListParagraph"/>
              <w:numPr>
                <w:ilvl w:val="0"/>
                <w:numId w:val="35"/>
              </w:numPr>
              <w:spacing w:before="120"/>
              <w:ind w:left="357" w:hanging="357"/>
              <w:contextualSpacing w:val="0"/>
              <w:rPr>
                <w:sz w:val="22"/>
                <w:szCs w:val="20"/>
              </w:rPr>
            </w:pPr>
            <w:r w:rsidRPr="00884A47">
              <w:rPr>
                <w:sz w:val="22"/>
                <w:szCs w:val="20"/>
              </w:rPr>
              <w:t>Spatial data integrates seamlessly with other built and natural environment data.</w:t>
            </w:r>
          </w:p>
          <w:p w14:paraId="57D97FBF" w14:textId="77777777" w:rsidR="00F651CC" w:rsidRPr="00884A47" w:rsidRDefault="00F651CC" w:rsidP="00007216">
            <w:pPr>
              <w:pStyle w:val="ListParagraph"/>
              <w:numPr>
                <w:ilvl w:val="0"/>
                <w:numId w:val="35"/>
              </w:numPr>
              <w:ind w:left="357" w:hanging="357"/>
              <w:contextualSpacing w:val="0"/>
              <w:rPr>
                <w:sz w:val="22"/>
                <w:szCs w:val="20"/>
              </w:rPr>
            </w:pPr>
            <w:r w:rsidRPr="00884A47">
              <w:rPr>
                <w:sz w:val="22"/>
                <w:szCs w:val="20"/>
              </w:rPr>
              <w:t xml:space="preserve">Key stakeholder groups understand the value of spatial data for digital twins and smart cities. </w:t>
            </w:r>
          </w:p>
          <w:p w14:paraId="4E06B5C7" w14:textId="77777777" w:rsidR="00F651CC" w:rsidRPr="00884A47" w:rsidRDefault="00F651CC" w:rsidP="00007216">
            <w:pPr>
              <w:pStyle w:val="ListParagraph"/>
              <w:numPr>
                <w:ilvl w:val="0"/>
                <w:numId w:val="35"/>
              </w:numPr>
              <w:ind w:left="357" w:hanging="357"/>
              <w:contextualSpacing w:val="0"/>
              <w:rPr>
                <w:sz w:val="22"/>
                <w:szCs w:val="20"/>
              </w:rPr>
            </w:pPr>
            <w:r w:rsidRPr="00884A47">
              <w:rPr>
                <w:sz w:val="22"/>
                <w:szCs w:val="20"/>
              </w:rPr>
              <w:t>Realise the vision of the Cadastre 2034 Strategy.</w:t>
            </w:r>
          </w:p>
          <w:p w14:paraId="727862A4" w14:textId="77777777" w:rsidR="00F651CC" w:rsidRPr="00884A47" w:rsidRDefault="00F651CC" w:rsidP="00007216">
            <w:pPr>
              <w:pStyle w:val="ListParagraph"/>
              <w:numPr>
                <w:ilvl w:val="0"/>
                <w:numId w:val="35"/>
              </w:numPr>
              <w:ind w:left="357" w:hanging="357"/>
              <w:contextualSpacing w:val="0"/>
              <w:rPr>
                <w:sz w:val="22"/>
                <w:szCs w:val="20"/>
              </w:rPr>
            </w:pPr>
            <w:r w:rsidRPr="00884A47">
              <w:rPr>
                <w:sz w:val="22"/>
                <w:szCs w:val="20"/>
              </w:rPr>
              <w:t xml:space="preserve">Foundation spatial data can be used to model changes in the physical and regulatory environment. </w:t>
            </w:r>
          </w:p>
          <w:p w14:paraId="0F6D1522" w14:textId="77777777" w:rsidR="00F651CC" w:rsidRPr="00884A47" w:rsidRDefault="00F651CC" w:rsidP="00007216">
            <w:pPr>
              <w:pStyle w:val="ListParagraph"/>
              <w:numPr>
                <w:ilvl w:val="0"/>
                <w:numId w:val="35"/>
              </w:numPr>
              <w:ind w:left="357" w:hanging="357"/>
              <w:contextualSpacing w:val="0"/>
              <w:rPr>
                <w:sz w:val="22"/>
                <w:szCs w:val="20"/>
              </w:rPr>
            </w:pPr>
            <w:r w:rsidRPr="00884A47">
              <w:rPr>
                <w:sz w:val="22"/>
                <w:szCs w:val="20"/>
              </w:rPr>
              <w:t>Spatial extents of law are legally recognisable and defensible.</w:t>
            </w:r>
          </w:p>
          <w:p w14:paraId="78D4FA1E" w14:textId="66D06E06" w:rsidR="00F651CC" w:rsidRPr="00884A47" w:rsidRDefault="00F651CC" w:rsidP="00007216">
            <w:pPr>
              <w:pStyle w:val="ListParagraph"/>
              <w:numPr>
                <w:ilvl w:val="0"/>
                <w:numId w:val="35"/>
              </w:numPr>
              <w:ind w:left="357" w:hanging="357"/>
              <w:contextualSpacing w:val="0"/>
              <w:rPr>
                <w:sz w:val="22"/>
                <w:szCs w:val="20"/>
              </w:rPr>
            </w:pPr>
            <w:r w:rsidRPr="00884A47">
              <w:rPr>
                <w:sz w:val="22"/>
                <w:szCs w:val="20"/>
              </w:rPr>
              <w:t>More efficient property transactions, enabled by digital, seamless, end-to-end property processes.</w:t>
            </w:r>
          </w:p>
        </w:tc>
      </w:tr>
      <w:tr w:rsidR="00E04077" w:rsidRPr="002F5038" w14:paraId="4C3EBC31" w14:textId="77777777" w:rsidTr="00007216">
        <w:tc>
          <w:tcPr>
            <w:tcW w:w="2551" w:type="dxa"/>
          </w:tcPr>
          <w:p w14:paraId="2C9A2606" w14:textId="400A7734" w:rsidR="00E04077" w:rsidRPr="00884A47" w:rsidRDefault="00E04077" w:rsidP="00007216">
            <w:pPr>
              <w:pStyle w:val="ListParagraph"/>
              <w:numPr>
                <w:ilvl w:val="0"/>
                <w:numId w:val="38"/>
              </w:numPr>
              <w:spacing w:before="120"/>
              <w:ind w:left="357" w:hanging="357"/>
              <w:rPr>
                <w:b/>
                <w:sz w:val="24"/>
                <w:szCs w:val="24"/>
              </w:rPr>
            </w:pPr>
            <w:r w:rsidRPr="00884A47">
              <w:rPr>
                <w:b/>
                <w:sz w:val="24"/>
                <w:szCs w:val="24"/>
              </w:rPr>
              <w:t xml:space="preserve">Australian Geospatial Reference System (AGRS) modernisation </w:t>
            </w:r>
          </w:p>
          <w:p w14:paraId="3028820F" w14:textId="77777777" w:rsidR="00E04077" w:rsidRPr="00884A47" w:rsidRDefault="00E04077" w:rsidP="00255252">
            <w:pPr>
              <w:rPr>
                <w:b/>
                <w:sz w:val="24"/>
                <w:szCs w:val="24"/>
              </w:rPr>
            </w:pPr>
          </w:p>
        </w:tc>
        <w:tc>
          <w:tcPr>
            <w:tcW w:w="4394" w:type="dxa"/>
          </w:tcPr>
          <w:p w14:paraId="20D4D42A" w14:textId="3D25E5F1" w:rsidR="00E04077" w:rsidRPr="00884A47" w:rsidRDefault="00E04077" w:rsidP="00007216">
            <w:pPr>
              <w:pStyle w:val="ListParagraph"/>
              <w:numPr>
                <w:ilvl w:val="0"/>
                <w:numId w:val="36"/>
              </w:numPr>
              <w:spacing w:before="120"/>
              <w:ind w:left="357" w:hanging="357"/>
              <w:contextualSpacing w:val="0"/>
              <w:rPr>
                <w:sz w:val="22"/>
                <w:szCs w:val="20"/>
              </w:rPr>
            </w:pPr>
            <w:r w:rsidRPr="00884A47">
              <w:rPr>
                <w:sz w:val="22"/>
                <w:szCs w:val="20"/>
              </w:rPr>
              <w:t xml:space="preserve">Make </w:t>
            </w:r>
            <w:r w:rsidR="00021A0D" w:rsidRPr="00884A47">
              <w:rPr>
                <w:sz w:val="22"/>
                <w:szCs w:val="20"/>
              </w:rPr>
              <w:t>Australian T</w:t>
            </w:r>
            <w:r w:rsidRPr="00884A47">
              <w:rPr>
                <w:sz w:val="22"/>
                <w:szCs w:val="20"/>
              </w:rPr>
              <w:t xml:space="preserve">errestrial Reference Frame (ATRF) and Australian Vertical Working Surface (AVWS) available. </w:t>
            </w:r>
          </w:p>
          <w:p w14:paraId="33D3E4B4" w14:textId="77777777" w:rsidR="00E04077" w:rsidRPr="00884A47" w:rsidRDefault="00E04077" w:rsidP="00007216">
            <w:pPr>
              <w:pStyle w:val="ListParagraph"/>
              <w:numPr>
                <w:ilvl w:val="0"/>
                <w:numId w:val="36"/>
              </w:numPr>
              <w:ind w:left="357" w:hanging="357"/>
              <w:contextualSpacing w:val="0"/>
              <w:rPr>
                <w:sz w:val="22"/>
                <w:szCs w:val="20"/>
              </w:rPr>
            </w:pPr>
            <w:r w:rsidRPr="00884A47">
              <w:rPr>
                <w:sz w:val="22"/>
                <w:szCs w:val="20"/>
              </w:rPr>
              <w:t>Coordinate release of foundation spatial data on GDA2020.</w:t>
            </w:r>
          </w:p>
          <w:p w14:paraId="253914B7" w14:textId="77777777" w:rsidR="00E04077" w:rsidRPr="00884A47" w:rsidRDefault="00E04077" w:rsidP="00007216">
            <w:pPr>
              <w:pStyle w:val="ListParagraph"/>
              <w:numPr>
                <w:ilvl w:val="0"/>
                <w:numId w:val="36"/>
              </w:numPr>
              <w:ind w:left="357" w:hanging="357"/>
              <w:contextualSpacing w:val="0"/>
              <w:rPr>
                <w:sz w:val="22"/>
                <w:szCs w:val="20"/>
              </w:rPr>
            </w:pPr>
            <w:r w:rsidRPr="00884A47">
              <w:rPr>
                <w:sz w:val="22"/>
                <w:szCs w:val="20"/>
              </w:rPr>
              <w:t xml:space="preserve">Progress Survey Marks Enquiry </w:t>
            </w:r>
            <w:r w:rsidR="0080552F" w:rsidRPr="00884A47">
              <w:rPr>
                <w:sz w:val="22"/>
                <w:szCs w:val="20"/>
              </w:rPr>
              <w:t>Service (SMES) proof of concept.</w:t>
            </w:r>
          </w:p>
          <w:p w14:paraId="1D12419C" w14:textId="19DC6EAC" w:rsidR="0080552F" w:rsidRPr="00884A47" w:rsidRDefault="0080552F" w:rsidP="00007216">
            <w:pPr>
              <w:pStyle w:val="ListParagraph"/>
              <w:numPr>
                <w:ilvl w:val="0"/>
                <w:numId w:val="36"/>
              </w:numPr>
              <w:ind w:left="357" w:hanging="357"/>
              <w:contextualSpacing w:val="0"/>
              <w:rPr>
                <w:sz w:val="22"/>
                <w:szCs w:val="20"/>
              </w:rPr>
            </w:pPr>
            <w:r w:rsidRPr="00884A47">
              <w:rPr>
                <w:sz w:val="22"/>
                <w:szCs w:val="20"/>
              </w:rPr>
              <w:t xml:space="preserve">Coordinate scoping of datum change impacts on legislation. </w:t>
            </w:r>
          </w:p>
        </w:tc>
        <w:tc>
          <w:tcPr>
            <w:tcW w:w="4395" w:type="dxa"/>
          </w:tcPr>
          <w:p w14:paraId="63D3E81A" w14:textId="76683439" w:rsidR="0080552F" w:rsidRPr="00884A47" w:rsidRDefault="0080552F" w:rsidP="00007216">
            <w:pPr>
              <w:pStyle w:val="ListParagraph"/>
              <w:numPr>
                <w:ilvl w:val="0"/>
                <w:numId w:val="35"/>
              </w:numPr>
              <w:spacing w:before="120"/>
              <w:ind w:left="357" w:hanging="357"/>
              <w:contextualSpacing w:val="0"/>
              <w:rPr>
                <w:sz w:val="22"/>
                <w:szCs w:val="20"/>
              </w:rPr>
            </w:pPr>
            <w:r w:rsidRPr="00884A47">
              <w:rPr>
                <w:sz w:val="22"/>
                <w:szCs w:val="20"/>
              </w:rPr>
              <w:t>Coordinate collection of tidal observations.</w:t>
            </w:r>
          </w:p>
          <w:p w14:paraId="6A4B0F3B" w14:textId="77777777" w:rsidR="0080552F" w:rsidRPr="00884A47" w:rsidRDefault="0080552F" w:rsidP="00007216">
            <w:pPr>
              <w:pStyle w:val="ListParagraph"/>
              <w:numPr>
                <w:ilvl w:val="0"/>
                <w:numId w:val="35"/>
              </w:numPr>
              <w:ind w:left="357" w:hanging="357"/>
              <w:contextualSpacing w:val="0"/>
              <w:rPr>
                <w:sz w:val="22"/>
                <w:szCs w:val="20"/>
              </w:rPr>
            </w:pPr>
            <w:r w:rsidRPr="00884A47">
              <w:rPr>
                <w:sz w:val="22"/>
                <w:szCs w:val="20"/>
              </w:rPr>
              <w:t>Coordinate collection of geodetic observations.</w:t>
            </w:r>
          </w:p>
          <w:p w14:paraId="374E9B4F" w14:textId="77777777" w:rsidR="0080552F" w:rsidRPr="00884A47" w:rsidRDefault="0080552F" w:rsidP="00007216">
            <w:pPr>
              <w:pStyle w:val="ListParagraph"/>
              <w:numPr>
                <w:ilvl w:val="0"/>
                <w:numId w:val="35"/>
              </w:numPr>
              <w:ind w:left="357" w:hanging="357"/>
              <w:contextualSpacing w:val="0"/>
              <w:rPr>
                <w:sz w:val="22"/>
                <w:szCs w:val="20"/>
              </w:rPr>
            </w:pPr>
            <w:r w:rsidRPr="00884A47">
              <w:rPr>
                <w:sz w:val="22"/>
                <w:szCs w:val="20"/>
              </w:rPr>
              <w:t>Deliver interim Aushydroid model for the Torres Strait.</w:t>
            </w:r>
          </w:p>
          <w:p w14:paraId="606BAE13" w14:textId="3718460A" w:rsidR="0080552F" w:rsidRPr="00884A47" w:rsidRDefault="0080552F" w:rsidP="00007216">
            <w:pPr>
              <w:pStyle w:val="ListParagraph"/>
              <w:numPr>
                <w:ilvl w:val="0"/>
                <w:numId w:val="35"/>
              </w:numPr>
              <w:ind w:left="357" w:hanging="357"/>
              <w:contextualSpacing w:val="0"/>
              <w:rPr>
                <w:sz w:val="22"/>
                <w:szCs w:val="20"/>
              </w:rPr>
            </w:pPr>
            <w:r w:rsidRPr="00884A47">
              <w:rPr>
                <w:sz w:val="22"/>
                <w:szCs w:val="20"/>
              </w:rPr>
              <w:t xml:space="preserve">Lead engagement and education of ATRF and AVWS benefits for stakeholders. </w:t>
            </w:r>
          </w:p>
        </w:tc>
        <w:tc>
          <w:tcPr>
            <w:tcW w:w="4252" w:type="dxa"/>
          </w:tcPr>
          <w:p w14:paraId="16A86C24" w14:textId="77777777" w:rsidR="00E04077" w:rsidRPr="00884A47" w:rsidRDefault="0080552F" w:rsidP="00007216">
            <w:pPr>
              <w:pStyle w:val="ListParagraph"/>
              <w:numPr>
                <w:ilvl w:val="0"/>
                <w:numId w:val="35"/>
              </w:numPr>
              <w:spacing w:before="120"/>
              <w:ind w:left="357" w:hanging="357"/>
              <w:contextualSpacing w:val="0"/>
              <w:rPr>
                <w:sz w:val="22"/>
                <w:szCs w:val="20"/>
              </w:rPr>
            </w:pPr>
            <w:r w:rsidRPr="00884A47">
              <w:rPr>
                <w:sz w:val="22"/>
                <w:szCs w:val="20"/>
              </w:rPr>
              <w:t>Users across Australia have access to a modernised, reliable and fit-for-purpose AGRS.</w:t>
            </w:r>
          </w:p>
          <w:p w14:paraId="1E01F5C8" w14:textId="56A5189A" w:rsidR="0080552F" w:rsidRPr="00884A47" w:rsidRDefault="0080552F" w:rsidP="00007216">
            <w:pPr>
              <w:pStyle w:val="ListParagraph"/>
              <w:numPr>
                <w:ilvl w:val="0"/>
                <w:numId w:val="35"/>
              </w:numPr>
              <w:ind w:left="357" w:hanging="357"/>
              <w:contextualSpacing w:val="0"/>
              <w:rPr>
                <w:sz w:val="22"/>
                <w:szCs w:val="20"/>
              </w:rPr>
            </w:pPr>
            <w:r w:rsidRPr="00884A47">
              <w:rPr>
                <w:sz w:val="22"/>
                <w:szCs w:val="20"/>
              </w:rPr>
              <w:t xml:space="preserve">Users clearly understand the benefits of new, modernised datums and have the skills to use them effectively. </w:t>
            </w:r>
          </w:p>
        </w:tc>
      </w:tr>
      <w:tr w:rsidR="0080552F" w:rsidRPr="002F5038" w14:paraId="1582474E" w14:textId="77777777" w:rsidTr="00007216">
        <w:trPr>
          <w:trHeight w:val="983"/>
        </w:trPr>
        <w:tc>
          <w:tcPr>
            <w:tcW w:w="2551" w:type="dxa"/>
          </w:tcPr>
          <w:p w14:paraId="1260AFAD" w14:textId="2BF1BD02" w:rsidR="0080552F" w:rsidRPr="00884A47" w:rsidRDefault="0080552F" w:rsidP="00007216">
            <w:pPr>
              <w:pStyle w:val="ListParagraph"/>
              <w:numPr>
                <w:ilvl w:val="0"/>
                <w:numId w:val="38"/>
              </w:numPr>
              <w:spacing w:before="120"/>
              <w:ind w:left="357" w:hanging="357"/>
              <w:contextualSpacing w:val="0"/>
              <w:rPr>
                <w:b/>
                <w:sz w:val="24"/>
                <w:szCs w:val="24"/>
              </w:rPr>
            </w:pPr>
            <w:r w:rsidRPr="00884A47">
              <w:rPr>
                <w:b/>
                <w:sz w:val="24"/>
                <w:szCs w:val="24"/>
              </w:rPr>
              <w:t>Improved spatial data delivery</w:t>
            </w:r>
          </w:p>
        </w:tc>
        <w:tc>
          <w:tcPr>
            <w:tcW w:w="4394" w:type="dxa"/>
          </w:tcPr>
          <w:p w14:paraId="1B01A3A9" w14:textId="77777777" w:rsidR="0080552F" w:rsidRPr="00884A47" w:rsidRDefault="0080552F" w:rsidP="00007216">
            <w:pPr>
              <w:pStyle w:val="ListParagraph"/>
              <w:numPr>
                <w:ilvl w:val="0"/>
                <w:numId w:val="36"/>
              </w:numPr>
              <w:spacing w:before="120"/>
              <w:ind w:left="357" w:hanging="357"/>
              <w:contextualSpacing w:val="0"/>
              <w:rPr>
                <w:sz w:val="22"/>
                <w:szCs w:val="20"/>
              </w:rPr>
            </w:pPr>
            <w:r w:rsidRPr="00884A47">
              <w:rPr>
                <w:sz w:val="22"/>
                <w:szCs w:val="20"/>
              </w:rPr>
              <w:t>Support delivery of improved standards and guidance to improve foundation spatial data discoverability.</w:t>
            </w:r>
          </w:p>
          <w:p w14:paraId="21900C95" w14:textId="77777777" w:rsidR="0080552F" w:rsidRPr="00884A47" w:rsidRDefault="0080552F" w:rsidP="00007216">
            <w:pPr>
              <w:pStyle w:val="ListParagraph"/>
              <w:numPr>
                <w:ilvl w:val="0"/>
                <w:numId w:val="36"/>
              </w:numPr>
              <w:ind w:left="357" w:hanging="357"/>
              <w:contextualSpacing w:val="0"/>
              <w:rPr>
                <w:sz w:val="22"/>
                <w:szCs w:val="20"/>
              </w:rPr>
            </w:pPr>
            <w:r w:rsidRPr="00884A47">
              <w:rPr>
                <w:sz w:val="22"/>
                <w:szCs w:val="20"/>
              </w:rPr>
              <w:t xml:space="preserve">Implement spatial data metadata best practice guide and implementation schemas. </w:t>
            </w:r>
          </w:p>
          <w:p w14:paraId="71F31368" w14:textId="37227918" w:rsidR="00065C0E" w:rsidRPr="00884A47" w:rsidRDefault="00065C0E" w:rsidP="00007216">
            <w:pPr>
              <w:pStyle w:val="ListParagraph"/>
              <w:numPr>
                <w:ilvl w:val="0"/>
                <w:numId w:val="36"/>
              </w:numPr>
              <w:ind w:left="357" w:hanging="357"/>
              <w:contextualSpacing w:val="0"/>
              <w:rPr>
                <w:sz w:val="22"/>
                <w:szCs w:val="20"/>
              </w:rPr>
            </w:pPr>
            <w:r w:rsidRPr="00884A47">
              <w:rPr>
                <w:sz w:val="22"/>
                <w:szCs w:val="20"/>
              </w:rPr>
              <w:t>Finalise Enhance</w:t>
            </w:r>
            <w:r w:rsidR="00007216">
              <w:rPr>
                <w:sz w:val="22"/>
                <w:szCs w:val="20"/>
              </w:rPr>
              <w:t>d Location Value InfrastructureS</w:t>
            </w:r>
            <w:r w:rsidRPr="00884A47">
              <w:rPr>
                <w:sz w:val="22"/>
                <w:szCs w:val="20"/>
              </w:rPr>
              <w:t xml:space="preserve"> (ELVIS) strategy and plan for future improvements and functions. </w:t>
            </w:r>
          </w:p>
          <w:p w14:paraId="2240404A" w14:textId="153C7A37" w:rsidR="00021A0D" w:rsidRPr="00884A47" w:rsidRDefault="00021A0D" w:rsidP="00007216">
            <w:pPr>
              <w:pStyle w:val="ListParagraph"/>
              <w:numPr>
                <w:ilvl w:val="0"/>
                <w:numId w:val="36"/>
              </w:numPr>
              <w:ind w:left="357" w:hanging="357"/>
              <w:contextualSpacing w:val="0"/>
              <w:rPr>
                <w:sz w:val="22"/>
                <w:szCs w:val="20"/>
              </w:rPr>
            </w:pPr>
            <w:r w:rsidRPr="00884A47">
              <w:rPr>
                <w:sz w:val="22"/>
                <w:szCs w:val="20"/>
              </w:rPr>
              <w:t>Support initiatives to standardise bushfire and emergency management symbology.</w:t>
            </w:r>
          </w:p>
        </w:tc>
        <w:tc>
          <w:tcPr>
            <w:tcW w:w="4395" w:type="dxa"/>
          </w:tcPr>
          <w:p w14:paraId="33E2DB0D" w14:textId="77777777" w:rsidR="0080552F" w:rsidRPr="00884A47" w:rsidRDefault="00065C0E" w:rsidP="00007216">
            <w:pPr>
              <w:pStyle w:val="ListParagraph"/>
              <w:numPr>
                <w:ilvl w:val="0"/>
                <w:numId w:val="35"/>
              </w:numPr>
              <w:spacing w:before="120"/>
              <w:ind w:left="357" w:hanging="357"/>
              <w:contextualSpacing w:val="0"/>
              <w:rPr>
                <w:sz w:val="22"/>
                <w:szCs w:val="20"/>
              </w:rPr>
            </w:pPr>
            <w:r w:rsidRPr="00884A47">
              <w:rPr>
                <w:sz w:val="22"/>
                <w:szCs w:val="20"/>
              </w:rPr>
              <w:t xml:space="preserve">Scope options to improve cross-government shared access to foundation spatial data, particularly for emergency management. </w:t>
            </w:r>
          </w:p>
          <w:p w14:paraId="15EF1274" w14:textId="07AE9CF1" w:rsidR="00065C0E" w:rsidRPr="00884A47" w:rsidRDefault="00065C0E" w:rsidP="00007216">
            <w:pPr>
              <w:pStyle w:val="ListParagraph"/>
              <w:numPr>
                <w:ilvl w:val="0"/>
                <w:numId w:val="35"/>
              </w:numPr>
              <w:ind w:left="357" w:hanging="357"/>
              <w:contextualSpacing w:val="0"/>
              <w:rPr>
                <w:sz w:val="22"/>
                <w:szCs w:val="20"/>
              </w:rPr>
            </w:pPr>
            <w:r w:rsidRPr="00884A47">
              <w:rPr>
                <w:sz w:val="22"/>
                <w:szCs w:val="20"/>
              </w:rPr>
              <w:t xml:space="preserve">Support provision of educational resources on foundation spatial data discoverability </w:t>
            </w:r>
            <w:r w:rsidR="00CD11B3" w:rsidRPr="00884A47">
              <w:rPr>
                <w:sz w:val="22"/>
                <w:szCs w:val="20"/>
              </w:rPr>
              <w:t xml:space="preserve">standards. </w:t>
            </w:r>
          </w:p>
        </w:tc>
        <w:tc>
          <w:tcPr>
            <w:tcW w:w="4252" w:type="dxa"/>
          </w:tcPr>
          <w:p w14:paraId="50C777DB" w14:textId="77777777" w:rsidR="0080552F" w:rsidRPr="00884A47" w:rsidRDefault="00CD11B3" w:rsidP="00007216">
            <w:pPr>
              <w:pStyle w:val="ListParagraph"/>
              <w:numPr>
                <w:ilvl w:val="0"/>
                <w:numId w:val="35"/>
              </w:numPr>
              <w:spacing w:before="120"/>
              <w:ind w:left="357" w:hanging="357"/>
              <w:contextualSpacing w:val="0"/>
              <w:rPr>
                <w:sz w:val="22"/>
                <w:szCs w:val="20"/>
              </w:rPr>
            </w:pPr>
            <w:r w:rsidRPr="00884A47">
              <w:rPr>
                <w:sz w:val="22"/>
                <w:szCs w:val="20"/>
              </w:rPr>
              <w:t>Users can readily discover and access accurate, reliable and standardised foundation spatial data.</w:t>
            </w:r>
          </w:p>
          <w:p w14:paraId="40F386BF" w14:textId="77777777" w:rsidR="00CD11B3" w:rsidRPr="00884A47" w:rsidRDefault="00CD11B3" w:rsidP="00007216">
            <w:pPr>
              <w:pStyle w:val="ListParagraph"/>
              <w:numPr>
                <w:ilvl w:val="0"/>
                <w:numId w:val="35"/>
              </w:numPr>
              <w:ind w:left="357" w:hanging="357"/>
              <w:contextualSpacing w:val="0"/>
              <w:rPr>
                <w:sz w:val="22"/>
                <w:szCs w:val="20"/>
              </w:rPr>
            </w:pPr>
            <w:r w:rsidRPr="00884A47">
              <w:rPr>
                <w:sz w:val="22"/>
                <w:szCs w:val="20"/>
              </w:rPr>
              <w:t>Users can easily use spatial data and integrate this data with other data to suit their needs.</w:t>
            </w:r>
          </w:p>
          <w:p w14:paraId="0FA3AF21" w14:textId="2C07C61D" w:rsidR="00CD11B3" w:rsidRPr="00884A47" w:rsidRDefault="00CD11B3" w:rsidP="00007216">
            <w:pPr>
              <w:pStyle w:val="ListParagraph"/>
              <w:numPr>
                <w:ilvl w:val="0"/>
                <w:numId w:val="35"/>
              </w:numPr>
              <w:ind w:left="357" w:hanging="357"/>
              <w:contextualSpacing w:val="0"/>
              <w:rPr>
                <w:sz w:val="22"/>
                <w:szCs w:val="20"/>
              </w:rPr>
            </w:pPr>
            <w:r w:rsidRPr="00884A47">
              <w:rPr>
                <w:sz w:val="22"/>
                <w:szCs w:val="20"/>
              </w:rPr>
              <w:t xml:space="preserve">Reduced costs and more efficient spatial data delivery, through more common and joint approaches between jurisdictions. </w:t>
            </w:r>
          </w:p>
        </w:tc>
      </w:tr>
      <w:tr w:rsidR="00CD11B3" w:rsidRPr="002F5038" w14:paraId="6B76E19A" w14:textId="77777777" w:rsidTr="00007216">
        <w:tc>
          <w:tcPr>
            <w:tcW w:w="2551" w:type="dxa"/>
          </w:tcPr>
          <w:p w14:paraId="66642027" w14:textId="3FBA0D14" w:rsidR="00CD11B3" w:rsidRPr="00884A47" w:rsidRDefault="00CD11B3" w:rsidP="00007216">
            <w:pPr>
              <w:pStyle w:val="ListParagraph"/>
              <w:numPr>
                <w:ilvl w:val="0"/>
                <w:numId w:val="38"/>
              </w:numPr>
              <w:spacing w:before="120"/>
              <w:ind w:left="357" w:hanging="357"/>
              <w:contextualSpacing w:val="0"/>
              <w:rPr>
                <w:b/>
                <w:sz w:val="24"/>
                <w:szCs w:val="24"/>
              </w:rPr>
            </w:pPr>
            <w:r w:rsidRPr="00884A47">
              <w:rPr>
                <w:b/>
                <w:sz w:val="24"/>
                <w:szCs w:val="24"/>
              </w:rPr>
              <w:t xml:space="preserve">Coordinated earth observation (EO) data acquisition </w:t>
            </w:r>
          </w:p>
        </w:tc>
        <w:tc>
          <w:tcPr>
            <w:tcW w:w="4394" w:type="dxa"/>
          </w:tcPr>
          <w:p w14:paraId="6ED0203D" w14:textId="4662DA86" w:rsidR="00CD11B3" w:rsidRPr="00884A47" w:rsidRDefault="00CD11B3" w:rsidP="00007216">
            <w:pPr>
              <w:pStyle w:val="ListParagraph"/>
              <w:numPr>
                <w:ilvl w:val="0"/>
                <w:numId w:val="36"/>
              </w:numPr>
              <w:spacing w:before="120"/>
              <w:ind w:left="357" w:hanging="357"/>
              <w:contextualSpacing w:val="0"/>
              <w:rPr>
                <w:sz w:val="22"/>
                <w:szCs w:val="20"/>
              </w:rPr>
            </w:pPr>
            <w:r w:rsidRPr="00884A47">
              <w:rPr>
                <w:sz w:val="22"/>
                <w:szCs w:val="20"/>
              </w:rPr>
              <w:t xml:space="preserve">Scope options for coordination of national-level imagery. </w:t>
            </w:r>
          </w:p>
          <w:p w14:paraId="2A32566E" w14:textId="024038B2" w:rsidR="00CD11B3" w:rsidRPr="00884A47" w:rsidRDefault="00CD11B3" w:rsidP="00007216">
            <w:pPr>
              <w:pStyle w:val="ListParagraph"/>
              <w:numPr>
                <w:ilvl w:val="0"/>
                <w:numId w:val="36"/>
              </w:numPr>
              <w:ind w:left="357" w:hanging="357"/>
              <w:contextualSpacing w:val="0"/>
              <w:rPr>
                <w:sz w:val="22"/>
                <w:szCs w:val="20"/>
              </w:rPr>
            </w:pPr>
            <w:r w:rsidRPr="00884A47">
              <w:rPr>
                <w:sz w:val="22"/>
                <w:szCs w:val="20"/>
              </w:rPr>
              <w:t>Review current EO data acquisition and licencing arrangements.</w:t>
            </w:r>
          </w:p>
        </w:tc>
        <w:tc>
          <w:tcPr>
            <w:tcW w:w="4395" w:type="dxa"/>
          </w:tcPr>
          <w:p w14:paraId="74CBAF38" w14:textId="77777777" w:rsidR="00CD11B3" w:rsidRPr="00884A47" w:rsidRDefault="00CD11B3" w:rsidP="00007216">
            <w:pPr>
              <w:pStyle w:val="ListParagraph"/>
              <w:numPr>
                <w:ilvl w:val="0"/>
                <w:numId w:val="35"/>
              </w:numPr>
              <w:spacing w:before="120"/>
              <w:ind w:left="357" w:hanging="357"/>
              <w:contextualSpacing w:val="0"/>
              <w:rPr>
                <w:sz w:val="22"/>
                <w:szCs w:val="20"/>
              </w:rPr>
            </w:pPr>
            <w:r w:rsidRPr="00884A47">
              <w:rPr>
                <w:sz w:val="22"/>
                <w:szCs w:val="20"/>
              </w:rPr>
              <w:t>Develop options for coordinating EO data acquisition.</w:t>
            </w:r>
          </w:p>
          <w:p w14:paraId="682A80C4" w14:textId="44DB9327" w:rsidR="00CD11B3" w:rsidRPr="00884A47" w:rsidRDefault="00CD11B3" w:rsidP="00007216">
            <w:pPr>
              <w:pStyle w:val="ListParagraph"/>
              <w:numPr>
                <w:ilvl w:val="0"/>
                <w:numId w:val="35"/>
              </w:numPr>
              <w:ind w:left="357" w:hanging="357"/>
              <w:contextualSpacing w:val="0"/>
              <w:rPr>
                <w:sz w:val="22"/>
                <w:szCs w:val="20"/>
              </w:rPr>
            </w:pPr>
            <w:r w:rsidRPr="00884A47">
              <w:rPr>
                <w:sz w:val="22"/>
                <w:szCs w:val="20"/>
              </w:rPr>
              <w:t xml:space="preserve">Publish forward programs for data acquisition. </w:t>
            </w:r>
          </w:p>
        </w:tc>
        <w:tc>
          <w:tcPr>
            <w:tcW w:w="4252" w:type="dxa"/>
          </w:tcPr>
          <w:p w14:paraId="3B4EE41C" w14:textId="77777777" w:rsidR="009E54A3" w:rsidRPr="00884A47" w:rsidRDefault="00CD11B3" w:rsidP="00007216">
            <w:pPr>
              <w:pStyle w:val="ListParagraph"/>
              <w:numPr>
                <w:ilvl w:val="0"/>
                <w:numId w:val="35"/>
              </w:numPr>
              <w:spacing w:before="120"/>
              <w:ind w:left="357" w:hanging="357"/>
              <w:contextualSpacing w:val="0"/>
              <w:rPr>
                <w:sz w:val="22"/>
                <w:szCs w:val="20"/>
              </w:rPr>
            </w:pPr>
            <w:r w:rsidRPr="00884A47">
              <w:rPr>
                <w:sz w:val="22"/>
                <w:szCs w:val="20"/>
              </w:rPr>
              <w:t xml:space="preserve">EO data is </w:t>
            </w:r>
            <w:r w:rsidR="009E54A3" w:rsidRPr="00884A47">
              <w:rPr>
                <w:sz w:val="22"/>
                <w:szCs w:val="20"/>
              </w:rPr>
              <w:t>accessible, adheres to common standards and is easy to use for downstream applications.</w:t>
            </w:r>
          </w:p>
          <w:p w14:paraId="0C18F114" w14:textId="70A324C7" w:rsidR="00CD11B3" w:rsidRPr="00884A47" w:rsidRDefault="009E54A3" w:rsidP="00007216">
            <w:pPr>
              <w:pStyle w:val="ListParagraph"/>
              <w:numPr>
                <w:ilvl w:val="0"/>
                <w:numId w:val="35"/>
              </w:numPr>
              <w:ind w:left="357" w:hanging="357"/>
              <w:contextualSpacing w:val="0"/>
              <w:rPr>
                <w:sz w:val="22"/>
                <w:szCs w:val="20"/>
              </w:rPr>
            </w:pPr>
            <w:r w:rsidRPr="00884A47">
              <w:rPr>
                <w:sz w:val="22"/>
                <w:szCs w:val="20"/>
              </w:rPr>
              <w:t xml:space="preserve">Government EO </w:t>
            </w:r>
            <w:r w:rsidR="00CD11B3" w:rsidRPr="00884A47">
              <w:rPr>
                <w:sz w:val="22"/>
                <w:szCs w:val="20"/>
              </w:rPr>
              <w:t>procurement is more cost effective, efficient and collaborative.</w:t>
            </w:r>
          </w:p>
          <w:p w14:paraId="7B1CDC4B" w14:textId="77777777" w:rsidR="00CD11B3" w:rsidRDefault="00CD11B3" w:rsidP="00007216">
            <w:pPr>
              <w:pStyle w:val="ListParagraph"/>
              <w:numPr>
                <w:ilvl w:val="0"/>
                <w:numId w:val="35"/>
              </w:numPr>
              <w:ind w:left="357" w:hanging="357"/>
              <w:contextualSpacing w:val="0"/>
              <w:rPr>
                <w:sz w:val="22"/>
                <w:szCs w:val="20"/>
              </w:rPr>
            </w:pPr>
            <w:r w:rsidRPr="00884A47">
              <w:rPr>
                <w:sz w:val="22"/>
                <w:szCs w:val="20"/>
              </w:rPr>
              <w:t>EO data investment is well justified and costed, maximising value and benefits.</w:t>
            </w:r>
          </w:p>
          <w:p w14:paraId="558C80FC" w14:textId="77777777" w:rsidR="00007216" w:rsidRDefault="00007216" w:rsidP="00007216"/>
          <w:p w14:paraId="419AD1FE" w14:textId="0A3D2302" w:rsidR="00007216" w:rsidRPr="00007216" w:rsidRDefault="00007216" w:rsidP="00007216">
            <w:pPr>
              <w:rPr>
                <w:sz w:val="22"/>
                <w:szCs w:val="20"/>
              </w:rPr>
            </w:pPr>
          </w:p>
        </w:tc>
      </w:tr>
      <w:tr w:rsidR="009E54A3" w:rsidRPr="002F5038" w14:paraId="2A2C41EA" w14:textId="77777777" w:rsidTr="00007216">
        <w:tc>
          <w:tcPr>
            <w:tcW w:w="2551" w:type="dxa"/>
          </w:tcPr>
          <w:p w14:paraId="0858F43D" w14:textId="5AD31347" w:rsidR="009E54A3" w:rsidRPr="00884A47" w:rsidRDefault="009E54A3" w:rsidP="00007216">
            <w:pPr>
              <w:pStyle w:val="ListParagraph"/>
              <w:numPr>
                <w:ilvl w:val="0"/>
                <w:numId w:val="38"/>
              </w:numPr>
              <w:spacing w:before="120"/>
              <w:ind w:left="357" w:hanging="357"/>
              <w:rPr>
                <w:b/>
                <w:sz w:val="24"/>
                <w:szCs w:val="24"/>
              </w:rPr>
            </w:pPr>
            <w:r w:rsidRPr="00884A47">
              <w:rPr>
                <w:b/>
                <w:sz w:val="24"/>
                <w:szCs w:val="24"/>
              </w:rPr>
              <w:t xml:space="preserve">Place names </w:t>
            </w:r>
          </w:p>
        </w:tc>
        <w:tc>
          <w:tcPr>
            <w:tcW w:w="4394" w:type="dxa"/>
          </w:tcPr>
          <w:p w14:paraId="250B8EB4" w14:textId="77777777" w:rsidR="009E54A3" w:rsidRPr="00884A47" w:rsidRDefault="009E54A3" w:rsidP="00007216">
            <w:pPr>
              <w:pStyle w:val="ListParagraph"/>
              <w:numPr>
                <w:ilvl w:val="0"/>
                <w:numId w:val="36"/>
              </w:numPr>
              <w:spacing w:before="120"/>
              <w:ind w:left="351" w:hanging="357"/>
              <w:contextualSpacing w:val="0"/>
              <w:rPr>
                <w:sz w:val="22"/>
                <w:szCs w:val="20"/>
              </w:rPr>
            </w:pPr>
            <w:r w:rsidRPr="00884A47">
              <w:rPr>
                <w:sz w:val="22"/>
                <w:szCs w:val="20"/>
              </w:rPr>
              <w:t xml:space="preserve">Develop policies and approaches for indigenous place naming across Australia. </w:t>
            </w:r>
          </w:p>
          <w:p w14:paraId="579E7D22" w14:textId="1558F768" w:rsidR="009E54A3" w:rsidRPr="00884A47" w:rsidRDefault="009E54A3" w:rsidP="00007216">
            <w:pPr>
              <w:pStyle w:val="ListParagraph"/>
              <w:numPr>
                <w:ilvl w:val="0"/>
                <w:numId w:val="36"/>
              </w:numPr>
              <w:ind w:left="357"/>
              <w:contextualSpacing w:val="0"/>
              <w:rPr>
                <w:sz w:val="22"/>
                <w:szCs w:val="20"/>
              </w:rPr>
            </w:pPr>
            <w:r w:rsidRPr="00884A47">
              <w:rPr>
                <w:sz w:val="22"/>
                <w:szCs w:val="20"/>
              </w:rPr>
              <w:t xml:space="preserve">Develop and implement strategy to update the National Gazetteer of Australia. </w:t>
            </w:r>
          </w:p>
        </w:tc>
        <w:tc>
          <w:tcPr>
            <w:tcW w:w="4395" w:type="dxa"/>
          </w:tcPr>
          <w:p w14:paraId="111819FD" w14:textId="77777777" w:rsidR="009E54A3" w:rsidRPr="00884A47" w:rsidRDefault="009E54A3" w:rsidP="00007216">
            <w:pPr>
              <w:pStyle w:val="ListParagraph"/>
              <w:numPr>
                <w:ilvl w:val="0"/>
                <w:numId w:val="35"/>
              </w:numPr>
              <w:spacing w:before="120"/>
              <w:ind w:left="351" w:hanging="357"/>
              <w:contextualSpacing w:val="0"/>
              <w:rPr>
                <w:sz w:val="22"/>
                <w:szCs w:val="20"/>
              </w:rPr>
            </w:pPr>
            <w:r w:rsidRPr="00884A47">
              <w:rPr>
                <w:sz w:val="22"/>
                <w:szCs w:val="20"/>
              </w:rPr>
              <w:t>Implement indigenous place naming policies across all Australian jurisdictions.</w:t>
            </w:r>
          </w:p>
          <w:p w14:paraId="5FD692FC" w14:textId="77777777" w:rsidR="009E54A3" w:rsidRPr="00884A47" w:rsidRDefault="009E54A3" w:rsidP="00007216">
            <w:pPr>
              <w:pStyle w:val="ListParagraph"/>
              <w:numPr>
                <w:ilvl w:val="0"/>
                <w:numId w:val="35"/>
              </w:numPr>
              <w:ind w:left="357"/>
              <w:contextualSpacing w:val="0"/>
              <w:rPr>
                <w:sz w:val="22"/>
                <w:szCs w:val="20"/>
              </w:rPr>
            </w:pPr>
            <w:r w:rsidRPr="00884A47">
              <w:rPr>
                <w:sz w:val="22"/>
                <w:szCs w:val="20"/>
              </w:rPr>
              <w:t xml:space="preserve">Progress updates to the National Gazetteer. </w:t>
            </w:r>
          </w:p>
          <w:p w14:paraId="76336B4C" w14:textId="77777777" w:rsidR="009E54A3" w:rsidRPr="00884A47" w:rsidRDefault="009E54A3" w:rsidP="00007216">
            <w:pPr>
              <w:pStyle w:val="ListParagraph"/>
              <w:ind w:left="357"/>
              <w:contextualSpacing w:val="0"/>
              <w:rPr>
                <w:sz w:val="22"/>
                <w:szCs w:val="20"/>
              </w:rPr>
            </w:pPr>
          </w:p>
        </w:tc>
        <w:tc>
          <w:tcPr>
            <w:tcW w:w="4252" w:type="dxa"/>
          </w:tcPr>
          <w:p w14:paraId="103E1DF6" w14:textId="7E6C28F8" w:rsidR="009E54A3" w:rsidRPr="00884A47" w:rsidRDefault="009E54A3" w:rsidP="00007216">
            <w:pPr>
              <w:pStyle w:val="ListParagraph"/>
              <w:numPr>
                <w:ilvl w:val="0"/>
                <w:numId w:val="35"/>
              </w:numPr>
              <w:spacing w:before="120"/>
              <w:ind w:left="351" w:hanging="357"/>
              <w:contextualSpacing w:val="0"/>
              <w:rPr>
                <w:sz w:val="22"/>
                <w:szCs w:val="20"/>
              </w:rPr>
            </w:pPr>
            <w:r w:rsidRPr="00884A47">
              <w:rPr>
                <w:sz w:val="22"/>
                <w:szCs w:val="20"/>
              </w:rPr>
              <w:t>Place names in Australia reflect indigenous language and support inclusion.</w:t>
            </w:r>
          </w:p>
          <w:p w14:paraId="2DA83CAB" w14:textId="48329837" w:rsidR="009E54A3" w:rsidRPr="00884A47" w:rsidRDefault="009E54A3" w:rsidP="00007216">
            <w:pPr>
              <w:pStyle w:val="ListParagraph"/>
              <w:numPr>
                <w:ilvl w:val="0"/>
                <w:numId w:val="35"/>
              </w:numPr>
              <w:ind w:left="357"/>
              <w:contextualSpacing w:val="0"/>
              <w:rPr>
                <w:sz w:val="22"/>
                <w:szCs w:val="20"/>
              </w:rPr>
            </w:pPr>
            <w:r w:rsidRPr="00884A47">
              <w:rPr>
                <w:sz w:val="22"/>
                <w:szCs w:val="20"/>
              </w:rPr>
              <w:t>Place name data is useful, accessible and accurate, supporting general us</w:t>
            </w:r>
            <w:r w:rsidR="00572033">
              <w:rPr>
                <w:sz w:val="22"/>
                <w:szCs w:val="20"/>
              </w:rPr>
              <w:t>e across the Australian and New </w:t>
            </w:r>
            <w:r w:rsidRPr="00884A47">
              <w:rPr>
                <w:sz w:val="22"/>
                <w:szCs w:val="20"/>
              </w:rPr>
              <w:t>Zealand economies.</w:t>
            </w:r>
          </w:p>
        </w:tc>
      </w:tr>
      <w:tr w:rsidR="009E54A3" w:rsidRPr="002F5038" w14:paraId="7E1A9EB3" w14:textId="77777777" w:rsidTr="00007216">
        <w:trPr>
          <w:trHeight w:val="4078"/>
        </w:trPr>
        <w:tc>
          <w:tcPr>
            <w:tcW w:w="2551" w:type="dxa"/>
          </w:tcPr>
          <w:p w14:paraId="6BB47C65" w14:textId="51581478" w:rsidR="009E54A3" w:rsidRPr="00884A47" w:rsidRDefault="009E54A3" w:rsidP="00572033">
            <w:pPr>
              <w:pStyle w:val="ListParagraph"/>
              <w:numPr>
                <w:ilvl w:val="0"/>
                <w:numId w:val="38"/>
              </w:numPr>
              <w:spacing w:before="120"/>
              <w:ind w:left="357" w:hanging="357"/>
              <w:contextualSpacing w:val="0"/>
              <w:rPr>
                <w:b/>
                <w:sz w:val="24"/>
                <w:szCs w:val="24"/>
              </w:rPr>
            </w:pPr>
            <w:r w:rsidRPr="00884A47">
              <w:rPr>
                <w:b/>
                <w:sz w:val="24"/>
                <w:szCs w:val="24"/>
              </w:rPr>
              <w:t>Space and spatial integration</w:t>
            </w:r>
          </w:p>
        </w:tc>
        <w:tc>
          <w:tcPr>
            <w:tcW w:w="4394" w:type="dxa"/>
          </w:tcPr>
          <w:p w14:paraId="394C083A" w14:textId="7EB77B96" w:rsidR="009E54A3" w:rsidRPr="00884A47" w:rsidRDefault="009E54A3" w:rsidP="00572033">
            <w:pPr>
              <w:pStyle w:val="ListParagraph"/>
              <w:numPr>
                <w:ilvl w:val="0"/>
                <w:numId w:val="36"/>
              </w:numPr>
              <w:spacing w:before="120"/>
              <w:ind w:left="357" w:hanging="357"/>
              <w:contextualSpacing w:val="0"/>
              <w:rPr>
                <w:sz w:val="22"/>
                <w:szCs w:val="20"/>
              </w:rPr>
            </w:pPr>
            <w:r w:rsidRPr="00884A47">
              <w:rPr>
                <w:sz w:val="22"/>
                <w:szCs w:val="20"/>
              </w:rPr>
              <w:t>Support activities of key entities such as the Australian and New Zealand space agencies.</w:t>
            </w:r>
          </w:p>
          <w:p w14:paraId="600D1982" w14:textId="01B64F44" w:rsidR="009E54A3" w:rsidRPr="00884A47" w:rsidRDefault="009E54A3" w:rsidP="00572033">
            <w:pPr>
              <w:pStyle w:val="ListParagraph"/>
              <w:numPr>
                <w:ilvl w:val="0"/>
                <w:numId w:val="36"/>
              </w:numPr>
              <w:ind w:left="357" w:hanging="357"/>
              <w:contextualSpacing w:val="0"/>
              <w:rPr>
                <w:sz w:val="22"/>
                <w:szCs w:val="20"/>
              </w:rPr>
            </w:pPr>
            <w:r w:rsidRPr="00884A47">
              <w:rPr>
                <w:sz w:val="22"/>
                <w:szCs w:val="20"/>
              </w:rPr>
              <w:t xml:space="preserve">Scope mechanisms to deliver EO and positioning data for end users. </w:t>
            </w:r>
          </w:p>
          <w:p w14:paraId="050DAC4E" w14:textId="77777777" w:rsidR="009E54A3" w:rsidRDefault="009E54A3" w:rsidP="00572033">
            <w:pPr>
              <w:pStyle w:val="ListParagraph"/>
              <w:numPr>
                <w:ilvl w:val="0"/>
                <w:numId w:val="36"/>
              </w:numPr>
              <w:ind w:left="357" w:hanging="357"/>
              <w:contextualSpacing w:val="0"/>
              <w:rPr>
                <w:sz w:val="22"/>
                <w:szCs w:val="20"/>
              </w:rPr>
            </w:pPr>
            <w:r w:rsidRPr="00884A47">
              <w:rPr>
                <w:sz w:val="22"/>
                <w:szCs w:val="20"/>
              </w:rPr>
              <w:t>Participate in development of Australian Space and Spatial Industry Growth Roadmap 2030</w:t>
            </w:r>
            <w:r w:rsidR="002F71E7" w:rsidRPr="00884A47">
              <w:rPr>
                <w:sz w:val="22"/>
                <w:szCs w:val="20"/>
              </w:rPr>
              <w:t>, led by SmartSat CRC</w:t>
            </w:r>
            <w:r w:rsidRPr="00884A47">
              <w:rPr>
                <w:sz w:val="22"/>
                <w:szCs w:val="20"/>
              </w:rPr>
              <w:t>.</w:t>
            </w:r>
          </w:p>
          <w:p w14:paraId="193F06F9" w14:textId="77777777" w:rsidR="00572033" w:rsidRDefault="00572033" w:rsidP="00572033">
            <w:pPr>
              <w:rPr>
                <w:sz w:val="22"/>
                <w:szCs w:val="20"/>
              </w:rPr>
            </w:pPr>
          </w:p>
          <w:p w14:paraId="3D4CE8C6" w14:textId="77777777" w:rsidR="00572033" w:rsidRDefault="00572033" w:rsidP="00572033">
            <w:pPr>
              <w:rPr>
                <w:sz w:val="22"/>
                <w:szCs w:val="20"/>
              </w:rPr>
            </w:pPr>
          </w:p>
          <w:p w14:paraId="4A8AB6D7" w14:textId="77777777" w:rsidR="00572033" w:rsidRDefault="00572033" w:rsidP="00572033">
            <w:pPr>
              <w:rPr>
                <w:sz w:val="22"/>
                <w:szCs w:val="20"/>
              </w:rPr>
            </w:pPr>
          </w:p>
          <w:p w14:paraId="469537D0" w14:textId="77777777" w:rsidR="00572033" w:rsidRDefault="00572033" w:rsidP="00572033">
            <w:pPr>
              <w:rPr>
                <w:sz w:val="22"/>
                <w:szCs w:val="20"/>
              </w:rPr>
            </w:pPr>
          </w:p>
          <w:p w14:paraId="658AFB01" w14:textId="77777777" w:rsidR="00572033" w:rsidRDefault="00572033" w:rsidP="00572033">
            <w:pPr>
              <w:rPr>
                <w:sz w:val="22"/>
                <w:szCs w:val="20"/>
              </w:rPr>
            </w:pPr>
          </w:p>
          <w:p w14:paraId="1FCC4A67" w14:textId="77777777" w:rsidR="00572033" w:rsidRDefault="00572033" w:rsidP="00572033">
            <w:pPr>
              <w:rPr>
                <w:sz w:val="22"/>
                <w:szCs w:val="20"/>
              </w:rPr>
            </w:pPr>
          </w:p>
          <w:p w14:paraId="7B4F209D" w14:textId="77777777" w:rsidR="00572033" w:rsidRDefault="00572033" w:rsidP="00572033">
            <w:pPr>
              <w:rPr>
                <w:sz w:val="22"/>
                <w:szCs w:val="20"/>
              </w:rPr>
            </w:pPr>
          </w:p>
          <w:p w14:paraId="06151BF1" w14:textId="21FB35D5" w:rsidR="00572033" w:rsidRPr="00572033" w:rsidRDefault="00572033" w:rsidP="00572033">
            <w:pPr>
              <w:rPr>
                <w:sz w:val="22"/>
                <w:szCs w:val="20"/>
              </w:rPr>
            </w:pPr>
          </w:p>
        </w:tc>
        <w:tc>
          <w:tcPr>
            <w:tcW w:w="4395" w:type="dxa"/>
          </w:tcPr>
          <w:p w14:paraId="545E9868" w14:textId="77777777" w:rsidR="009E54A3" w:rsidRPr="00884A47" w:rsidRDefault="002F71E7" w:rsidP="00572033">
            <w:pPr>
              <w:pStyle w:val="ListParagraph"/>
              <w:numPr>
                <w:ilvl w:val="0"/>
                <w:numId w:val="35"/>
              </w:numPr>
              <w:spacing w:before="120"/>
              <w:ind w:left="357" w:hanging="357"/>
              <w:contextualSpacing w:val="0"/>
              <w:rPr>
                <w:sz w:val="22"/>
                <w:szCs w:val="20"/>
              </w:rPr>
            </w:pPr>
            <w:r w:rsidRPr="00884A47">
              <w:rPr>
                <w:sz w:val="22"/>
                <w:szCs w:val="20"/>
              </w:rPr>
              <w:t>Collaborate with key spatial peak bodies and stakeholders to drive downstream use of space-derived data.</w:t>
            </w:r>
          </w:p>
          <w:p w14:paraId="72DD99BB" w14:textId="37696302" w:rsidR="002F71E7" w:rsidRPr="00884A47" w:rsidRDefault="002F71E7" w:rsidP="00572033">
            <w:pPr>
              <w:pStyle w:val="ListParagraph"/>
              <w:numPr>
                <w:ilvl w:val="0"/>
                <w:numId w:val="35"/>
              </w:numPr>
              <w:ind w:left="357" w:hanging="357"/>
              <w:contextualSpacing w:val="0"/>
              <w:rPr>
                <w:sz w:val="22"/>
                <w:szCs w:val="20"/>
              </w:rPr>
            </w:pPr>
            <w:r w:rsidRPr="00884A47">
              <w:rPr>
                <w:sz w:val="22"/>
                <w:szCs w:val="20"/>
              </w:rPr>
              <w:t>Scope necessary standards and mechanisms required to maximise value and use of space-derived data.</w:t>
            </w:r>
          </w:p>
        </w:tc>
        <w:tc>
          <w:tcPr>
            <w:tcW w:w="4252" w:type="dxa"/>
          </w:tcPr>
          <w:p w14:paraId="61081878" w14:textId="77777777" w:rsidR="009E54A3" w:rsidRPr="00884A47" w:rsidRDefault="002F71E7" w:rsidP="00572033">
            <w:pPr>
              <w:pStyle w:val="ListParagraph"/>
              <w:numPr>
                <w:ilvl w:val="0"/>
                <w:numId w:val="35"/>
              </w:numPr>
              <w:spacing w:before="120"/>
              <w:ind w:left="357" w:hanging="357"/>
              <w:contextualSpacing w:val="0"/>
              <w:rPr>
                <w:sz w:val="22"/>
                <w:szCs w:val="20"/>
              </w:rPr>
            </w:pPr>
            <w:r w:rsidRPr="00884A47">
              <w:rPr>
                <w:sz w:val="22"/>
                <w:szCs w:val="20"/>
              </w:rPr>
              <w:t>Users can easily access and use satellite data and new space capabilities to support functions across government, industry and research.</w:t>
            </w:r>
          </w:p>
          <w:p w14:paraId="3A5F8914" w14:textId="0E9F9E25" w:rsidR="002F71E7" w:rsidRPr="00884A47" w:rsidRDefault="002F71E7" w:rsidP="00572033">
            <w:pPr>
              <w:pStyle w:val="ListParagraph"/>
              <w:numPr>
                <w:ilvl w:val="0"/>
                <w:numId w:val="35"/>
              </w:numPr>
              <w:ind w:left="357" w:hanging="357"/>
              <w:contextualSpacing w:val="0"/>
              <w:rPr>
                <w:sz w:val="22"/>
                <w:szCs w:val="20"/>
              </w:rPr>
            </w:pPr>
            <w:r w:rsidRPr="00884A47">
              <w:rPr>
                <w:sz w:val="22"/>
                <w:szCs w:val="20"/>
              </w:rPr>
              <w:t xml:space="preserve">Space-derived data is standardised, reliable and discoverable, maximising value for all users. </w:t>
            </w:r>
          </w:p>
        </w:tc>
      </w:tr>
    </w:tbl>
    <w:p w14:paraId="3B56095C" w14:textId="20D10294" w:rsidR="00255252" w:rsidRPr="00B70BD9" w:rsidRDefault="00255252" w:rsidP="00255252">
      <w:pPr>
        <w:rPr>
          <w:sz w:val="24"/>
          <w:szCs w:val="20"/>
        </w:rPr>
      </w:pPr>
    </w:p>
    <w:tbl>
      <w:tblPr>
        <w:tblStyle w:val="TableGrid"/>
        <w:tblW w:w="15592" w:type="dxa"/>
        <w:tblInd w:w="421" w:type="dxa"/>
        <w:tblLook w:val="04A0" w:firstRow="1" w:lastRow="0" w:firstColumn="1" w:lastColumn="0" w:noHBand="0" w:noVBand="1"/>
      </w:tblPr>
      <w:tblGrid>
        <w:gridCol w:w="2551"/>
        <w:gridCol w:w="6521"/>
        <w:gridCol w:w="6520"/>
      </w:tblGrid>
      <w:tr w:rsidR="00572033" w:rsidRPr="002F5038" w14:paraId="1AEDBFE0" w14:textId="77777777" w:rsidTr="00572033">
        <w:trPr>
          <w:trHeight w:val="534"/>
          <w:tblHeader/>
        </w:trPr>
        <w:tc>
          <w:tcPr>
            <w:tcW w:w="2551" w:type="dxa"/>
            <w:shd w:val="clear" w:color="auto" w:fill="006699"/>
            <w:vAlign w:val="center"/>
          </w:tcPr>
          <w:p w14:paraId="590FC9EA" w14:textId="77777777" w:rsidR="00572033" w:rsidRPr="00884A47" w:rsidRDefault="00572033" w:rsidP="00A460DB">
            <w:pPr>
              <w:spacing w:after="0"/>
              <w:rPr>
                <w:b/>
                <w:color w:val="FFFFFF" w:themeColor="background1"/>
                <w:sz w:val="24"/>
                <w:szCs w:val="20"/>
              </w:rPr>
            </w:pPr>
            <w:r w:rsidRPr="00884A47">
              <w:rPr>
                <w:b/>
                <w:color w:val="FFFFFF" w:themeColor="background1"/>
                <w:sz w:val="24"/>
                <w:szCs w:val="20"/>
              </w:rPr>
              <w:t xml:space="preserve">Initiatives </w:t>
            </w:r>
          </w:p>
        </w:tc>
        <w:tc>
          <w:tcPr>
            <w:tcW w:w="6521" w:type="dxa"/>
            <w:shd w:val="clear" w:color="auto" w:fill="006699"/>
            <w:vAlign w:val="center"/>
          </w:tcPr>
          <w:p w14:paraId="277C6294" w14:textId="390C3847" w:rsidR="00572033" w:rsidRPr="00884A47" w:rsidRDefault="00572033" w:rsidP="00A460DB">
            <w:pPr>
              <w:spacing w:after="0"/>
              <w:rPr>
                <w:color w:val="FFFFFF" w:themeColor="background1"/>
                <w:sz w:val="24"/>
                <w:szCs w:val="20"/>
              </w:rPr>
            </w:pPr>
            <w:r w:rsidRPr="00884A47">
              <w:rPr>
                <w:b/>
                <w:color w:val="FFFFFF" w:themeColor="background1"/>
                <w:sz w:val="24"/>
                <w:szCs w:val="20"/>
              </w:rPr>
              <w:t xml:space="preserve">Short </w:t>
            </w:r>
            <w:r>
              <w:rPr>
                <w:b/>
                <w:color w:val="FFFFFF" w:themeColor="background1"/>
                <w:sz w:val="24"/>
                <w:szCs w:val="20"/>
              </w:rPr>
              <w:t xml:space="preserve">to medium </w:t>
            </w:r>
            <w:r w:rsidRPr="00884A47">
              <w:rPr>
                <w:b/>
                <w:color w:val="FFFFFF" w:themeColor="background1"/>
                <w:sz w:val="24"/>
                <w:szCs w:val="20"/>
              </w:rPr>
              <w:t>term</w:t>
            </w:r>
            <w:r>
              <w:rPr>
                <w:b/>
                <w:color w:val="FFFFFF" w:themeColor="background1"/>
                <w:sz w:val="24"/>
                <w:szCs w:val="20"/>
              </w:rPr>
              <w:t xml:space="preserve"> (2020-2023</w:t>
            </w:r>
            <w:r w:rsidRPr="00884A47">
              <w:rPr>
                <w:b/>
                <w:color w:val="FFFFFF" w:themeColor="background1"/>
                <w:sz w:val="24"/>
                <w:szCs w:val="20"/>
              </w:rPr>
              <w:t>)</w:t>
            </w:r>
          </w:p>
        </w:tc>
        <w:tc>
          <w:tcPr>
            <w:tcW w:w="6520" w:type="dxa"/>
            <w:shd w:val="clear" w:color="auto" w:fill="006699"/>
            <w:vAlign w:val="center"/>
          </w:tcPr>
          <w:p w14:paraId="69DE9457" w14:textId="77777777" w:rsidR="00572033" w:rsidRPr="00884A47" w:rsidRDefault="00572033" w:rsidP="00A460DB">
            <w:pPr>
              <w:spacing w:after="0"/>
              <w:rPr>
                <w:color w:val="FFFFFF" w:themeColor="background1"/>
                <w:sz w:val="24"/>
                <w:szCs w:val="20"/>
              </w:rPr>
            </w:pPr>
            <w:r w:rsidRPr="00884A47">
              <w:rPr>
                <w:b/>
                <w:color w:val="FFFFFF" w:themeColor="background1"/>
                <w:sz w:val="24"/>
                <w:szCs w:val="20"/>
              </w:rPr>
              <w:t>Long term outcomes (2024)</w:t>
            </w:r>
          </w:p>
        </w:tc>
      </w:tr>
      <w:tr w:rsidR="00572033" w:rsidRPr="002F5038" w14:paraId="27EDDB8D" w14:textId="77777777" w:rsidTr="00A460DB">
        <w:trPr>
          <w:trHeight w:val="1362"/>
        </w:trPr>
        <w:tc>
          <w:tcPr>
            <w:tcW w:w="2551" w:type="dxa"/>
          </w:tcPr>
          <w:p w14:paraId="52327DAB" w14:textId="77777777" w:rsidR="00572033" w:rsidRPr="00884A47" w:rsidRDefault="00572033" w:rsidP="00572033">
            <w:pPr>
              <w:pStyle w:val="ListParagraph"/>
              <w:numPr>
                <w:ilvl w:val="0"/>
                <w:numId w:val="38"/>
              </w:numPr>
              <w:spacing w:before="120"/>
              <w:ind w:left="357" w:hanging="357"/>
              <w:rPr>
                <w:b/>
                <w:sz w:val="24"/>
                <w:szCs w:val="24"/>
              </w:rPr>
            </w:pPr>
            <w:r w:rsidRPr="00884A47">
              <w:rPr>
                <w:b/>
                <w:sz w:val="24"/>
                <w:szCs w:val="24"/>
              </w:rPr>
              <w:t xml:space="preserve">Stakeholder engagement </w:t>
            </w:r>
          </w:p>
        </w:tc>
        <w:tc>
          <w:tcPr>
            <w:tcW w:w="6521" w:type="dxa"/>
          </w:tcPr>
          <w:p w14:paraId="760BF52A" w14:textId="77777777" w:rsidR="00572033" w:rsidRPr="002D13FC" w:rsidRDefault="00572033" w:rsidP="00572033">
            <w:pPr>
              <w:pStyle w:val="ListParagraph"/>
              <w:numPr>
                <w:ilvl w:val="0"/>
                <w:numId w:val="36"/>
              </w:numPr>
              <w:spacing w:before="120"/>
              <w:ind w:left="357" w:hanging="357"/>
              <w:contextualSpacing w:val="0"/>
              <w:rPr>
                <w:sz w:val="22"/>
                <w:szCs w:val="20"/>
              </w:rPr>
            </w:pPr>
            <w:r w:rsidRPr="00884A47">
              <w:rPr>
                <w:sz w:val="22"/>
                <w:szCs w:val="20"/>
              </w:rPr>
              <w:t>Engage and share information, via ANZLIC and its member jurisdictions, with key stakeholders across industry, the research sector and government.</w:t>
            </w:r>
          </w:p>
        </w:tc>
        <w:tc>
          <w:tcPr>
            <w:tcW w:w="6520" w:type="dxa"/>
          </w:tcPr>
          <w:p w14:paraId="43C9499D" w14:textId="77777777" w:rsidR="00572033" w:rsidRPr="00884A47" w:rsidRDefault="00572033" w:rsidP="00572033">
            <w:pPr>
              <w:pStyle w:val="ListParagraph"/>
              <w:numPr>
                <w:ilvl w:val="0"/>
                <w:numId w:val="36"/>
              </w:numPr>
              <w:spacing w:before="120"/>
              <w:ind w:left="357" w:hanging="357"/>
              <w:contextualSpacing w:val="0"/>
              <w:rPr>
                <w:sz w:val="22"/>
                <w:szCs w:val="20"/>
              </w:rPr>
            </w:pPr>
            <w:r w:rsidRPr="00884A47">
              <w:rPr>
                <w:sz w:val="22"/>
                <w:szCs w:val="20"/>
              </w:rPr>
              <w:t>Stakeholders understand ANZLIC’s priorities and key initiatives, and vice versa.</w:t>
            </w:r>
          </w:p>
          <w:p w14:paraId="1C19E188" w14:textId="77777777" w:rsidR="00572033" w:rsidRPr="00884A47" w:rsidRDefault="00572033" w:rsidP="00572033">
            <w:pPr>
              <w:pStyle w:val="ListParagraph"/>
              <w:numPr>
                <w:ilvl w:val="0"/>
                <w:numId w:val="36"/>
              </w:numPr>
              <w:ind w:left="357" w:hanging="357"/>
              <w:contextualSpacing w:val="0"/>
              <w:rPr>
                <w:sz w:val="22"/>
                <w:szCs w:val="20"/>
              </w:rPr>
            </w:pPr>
            <w:r w:rsidRPr="00884A47">
              <w:rPr>
                <w:sz w:val="22"/>
                <w:szCs w:val="20"/>
              </w:rPr>
              <w:t xml:space="preserve">ANZLIC partners with stakeholders to progress initiatives collaboratively for mutual benefit. </w:t>
            </w:r>
          </w:p>
        </w:tc>
      </w:tr>
      <w:tr w:rsidR="00572033" w:rsidRPr="002F5038" w14:paraId="075EF4C4" w14:textId="77777777" w:rsidTr="00A460DB">
        <w:tc>
          <w:tcPr>
            <w:tcW w:w="2551" w:type="dxa"/>
          </w:tcPr>
          <w:p w14:paraId="6B0C6C17" w14:textId="77777777" w:rsidR="00572033" w:rsidRPr="00884A47" w:rsidRDefault="00572033" w:rsidP="00572033">
            <w:pPr>
              <w:pStyle w:val="ListParagraph"/>
              <w:numPr>
                <w:ilvl w:val="0"/>
                <w:numId w:val="38"/>
              </w:numPr>
              <w:spacing w:before="120"/>
              <w:ind w:left="357" w:hanging="357"/>
              <w:rPr>
                <w:b/>
                <w:sz w:val="24"/>
                <w:szCs w:val="20"/>
              </w:rPr>
            </w:pPr>
            <w:r w:rsidRPr="00884A47">
              <w:rPr>
                <w:b/>
                <w:sz w:val="24"/>
                <w:szCs w:val="20"/>
              </w:rPr>
              <w:t>Diversity and inclusion</w:t>
            </w:r>
          </w:p>
        </w:tc>
        <w:tc>
          <w:tcPr>
            <w:tcW w:w="6521" w:type="dxa"/>
          </w:tcPr>
          <w:p w14:paraId="569B8D37" w14:textId="77777777" w:rsidR="00572033" w:rsidRPr="00884A47" w:rsidRDefault="00572033" w:rsidP="00572033">
            <w:pPr>
              <w:pStyle w:val="ListParagraph"/>
              <w:numPr>
                <w:ilvl w:val="0"/>
                <w:numId w:val="36"/>
              </w:numPr>
              <w:spacing w:before="120"/>
              <w:ind w:left="357" w:hanging="357"/>
              <w:contextualSpacing w:val="0"/>
              <w:rPr>
                <w:sz w:val="22"/>
                <w:szCs w:val="20"/>
              </w:rPr>
            </w:pPr>
            <w:r w:rsidRPr="00884A47">
              <w:rPr>
                <w:sz w:val="22"/>
                <w:szCs w:val="20"/>
              </w:rPr>
              <w:t>Advocate for greater diversity and inclusion in ANZLIC jurisdictions and the spatial sector.</w:t>
            </w:r>
          </w:p>
          <w:p w14:paraId="28854F53" w14:textId="77777777" w:rsidR="00572033" w:rsidRPr="00884A47" w:rsidRDefault="00572033" w:rsidP="00572033">
            <w:pPr>
              <w:pStyle w:val="ListParagraph"/>
              <w:numPr>
                <w:ilvl w:val="0"/>
                <w:numId w:val="36"/>
              </w:numPr>
              <w:ind w:left="357" w:hanging="357"/>
              <w:contextualSpacing w:val="0"/>
              <w:rPr>
                <w:sz w:val="22"/>
                <w:szCs w:val="20"/>
              </w:rPr>
            </w:pPr>
            <w:r w:rsidRPr="00884A47">
              <w:rPr>
                <w:sz w:val="22"/>
                <w:szCs w:val="20"/>
              </w:rPr>
              <w:t>Assist with measuring changes in diversity and inclusion over time.</w:t>
            </w:r>
          </w:p>
          <w:p w14:paraId="1D40DC8D" w14:textId="77777777" w:rsidR="00572033" w:rsidRPr="00884A47" w:rsidRDefault="00572033" w:rsidP="00572033">
            <w:pPr>
              <w:pStyle w:val="ListParagraph"/>
              <w:numPr>
                <w:ilvl w:val="0"/>
                <w:numId w:val="36"/>
              </w:numPr>
              <w:ind w:left="357" w:hanging="357"/>
              <w:contextualSpacing w:val="0"/>
              <w:rPr>
                <w:sz w:val="22"/>
                <w:szCs w:val="20"/>
              </w:rPr>
            </w:pPr>
            <w:r w:rsidRPr="00884A47">
              <w:rPr>
                <w:sz w:val="22"/>
                <w:szCs w:val="20"/>
              </w:rPr>
              <w:t>Share information on diversity and inclusion initiatives and progress in ANZLIC jurisdictions.</w:t>
            </w:r>
          </w:p>
        </w:tc>
        <w:tc>
          <w:tcPr>
            <w:tcW w:w="6520" w:type="dxa"/>
          </w:tcPr>
          <w:p w14:paraId="5C59C5F1" w14:textId="77777777" w:rsidR="00572033" w:rsidRPr="00884A47" w:rsidRDefault="00572033" w:rsidP="00572033">
            <w:pPr>
              <w:pStyle w:val="ListParagraph"/>
              <w:numPr>
                <w:ilvl w:val="0"/>
                <w:numId w:val="36"/>
              </w:numPr>
              <w:spacing w:before="120"/>
              <w:ind w:left="357" w:hanging="357"/>
              <w:contextualSpacing w:val="0"/>
              <w:rPr>
                <w:sz w:val="22"/>
                <w:szCs w:val="20"/>
              </w:rPr>
            </w:pPr>
            <w:r w:rsidRPr="00884A47">
              <w:rPr>
                <w:sz w:val="22"/>
                <w:szCs w:val="20"/>
              </w:rPr>
              <w:t>Spatial sector capability, innovation and collaboration grows through increased diversity and inclusion.</w:t>
            </w:r>
          </w:p>
          <w:p w14:paraId="7B0B9BA5" w14:textId="77777777" w:rsidR="00572033" w:rsidRPr="00884A47" w:rsidRDefault="00572033" w:rsidP="00572033">
            <w:pPr>
              <w:pStyle w:val="ListParagraph"/>
              <w:numPr>
                <w:ilvl w:val="0"/>
                <w:numId w:val="36"/>
              </w:numPr>
              <w:ind w:left="357" w:hanging="357"/>
              <w:contextualSpacing w:val="0"/>
              <w:rPr>
                <w:sz w:val="22"/>
                <w:szCs w:val="20"/>
              </w:rPr>
            </w:pPr>
            <w:r w:rsidRPr="00884A47">
              <w:rPr>
                <w:sz w:val="22"/>
                <w:szCs w:val="20"/>
              </w:rPr>
              <w:t>Stakeholders clearly understand diversity and inclusion challenges in the spatial sector and advocate for and achieve change.</w:t>
            </w:r>
          </w:p>
        </w:tc>
      </w:tr>
      <w:tr w:rsidR="00572033" w:rsidRPr="002F5038" w14:paraId="5A1C15C0" w14:textId="77777777" w:rsidTr="00A460DB">
        <w:tc>
          <w:tcPr>
            <w:tcW w:w="2551" w:type="dxa"/>
          </w:tcPr>
          <w:p w14:paraId="60E0C55D" w14:textId="77777777" w:rsidR="00572033" w:rsidRPr="00884A47" w:rsidRDefault="00572033" w:rsidP="00572033">
            <w:pPr>
              <w:pStyle w:val="ListParagraph"/>
              <w:numPr>
                <w:ilvl w:val="0"/>
                <w:numId w:val="38"/>
              </w:numPr>
              <w:spacing w:before="120"/>
              <w:ind w:left="357" w:hanging="357"/>
              <w:rPr>
                <w:b/>
                <w:sz w:val="24"/>
                <w:szCs w:val="20"/>
              </w:rPr>
            </w:pPr>
            <w:r w:rsidRPr="00884A47">
              <w:rPr>
                <w:b/>
                <w:sz w:val="24"/>
                <w:szCs w:val="20"/>
              </w:rPr>
              <w:t>Skills and capability</w:t>
            </w:r>
          </w:p>
        </w:tc>
        <w:tc>
          <w:tcPr>
            <w:tcW w:w="6521" w:type="dxa"/>
          </w:tcPr>
          <w:p w14:paraId="2A006989" w14:textId="77777777" w:rsidR="00572033" w:rsidRPr="00884A47" w:rsidRDefault="00572033" w:rsidP="00572033">
            <w:pPr>
              <w:pStyle w:val="ListParagraph"/>
              <w:numPr>
                <w:ilvl w:val="0"/>
                <w:numId w:val="36"/>
              </w:numPr>
              <w:spacing w:before="120"/>
              <w:ind w:left="357" w:hanging="357"/>
              <w:contextualSpacing w:val="0"/>
              <w:rPr>
                <w:sz w:val="22"/>
                <w:szCs w:val="20"/>
              </w:rPr>
            </w:pPr>
            <w:r w:rsidRPr="00884A47">
              <w:rPr>
                <w:sz w:val="22"/>
                <w:szCs w:val="20"/>
              </w:rPr>
              <w:t>Engage with relevant spatial industry peak bodies to scope spatial skill, capability gaps and potential actions.</w:t>
            </w:r>
          </w:p>
          <w:p w14:paraId="6CDD840F" w14:textId="77777777" w:rsidR="00572033" w:rsidRPr="00884A47" w:rsidRDefault="00572033" w:rsidP="00572033">
            <w:pPr>
              <w:pStyle w:val="ListParagraph"/>
              <w:numPr>
                <w:ilvl w:val="0"/>
                <w:numId w:val="36"/>
              </w:numPr>
              <w:ind w:left="357" w:hanging="357"/>
              <w:contextualSpacing w:val="0"/>
              <w:rPr>
                <w:sz w:val="22"/>
                <w:szCs w:val="20"/>
              </w:rPr>
            </w:pPr>
            <w:r w:rsidRPr="00884A47">
              <w:rPr>
                <w:sz w:val="22"/>
                <w:szCs w:val="20"/>
              </w:rPr>
              <w:t>Advocate for, and share information on, important applications of spatial data, skills and capabilities to build awareness and promote the importance of spatial skills and capability.</w:t>
            </w:r>
          </w:p>
        </w:tc>
        <w:tc>
          <w:tcPr>
            <w:tcW w:w="6520" w:type="dxa"/>
          </w:tcPr>
          <w:p w14:paraId="092024BF" w14:textId="77777777" w:rsidR="00572033" w:rsidRPr="00884A47" w:rsidRDefault="00572033" w:rsidP="00572033">
            <w:pPr>
              <w:pStyle w:val="ListParagraph"/>
              <w:numPr>
                <w:ilvl w:val="0"/>
                <w:numId w:val="36"/>
              </w:numPr>
              <w:spacing w:before="120"/>
              <w:ind w:left="357" w:hanging="357"/>
              <w:contextualSpacing w:val="0"/>
              <w:rPr>
                <w:sz w:val="22"/>
                <w:szCs w:val="20"/>
              </w:rPr>
            </w:pPr>
            <w:r w:rsidRPr="00884A47">
              <w:rPr>
                <w:sz w:val="22"/>
                <w:szCs w:val="20"/>
              </w:rPr>
              <w:t xml:space="preserve">Australia and New Zealand spatial capability and expertise continues to grow. </w:t>
            </w:r>
          </w:p>
          <w:p w14:paraId="312E5914" w14:textId="77777777" w:rsidR="00572033" w:rsidRPr="00884A47" w:rsidRDefault="00572033" w:rsidP="00572033">
            <w:pPr>
              <w:pStyle w:val="ListParagraph"/>
              <w:numPr>
                <w:ilvl w:val="0"/>
                <w:numId w:val="36"/>
              </w:numPr>
              <w:ind w:left="357" w:hanging="357"/>
              <w:contextualSpacing w:val="0"/>
              <w:rPr>
                <w:sz w:val="22"/>
                <w:szCs w:val="20"/>
              </w:rPr>
            </w:pPr>
            <w:r w:rsidRPr="00884A47">
              <w:rPr>
                <w:sz w:val="22"/>
                <w:szCs w:val="20"/>
              </w:rPr>
              <w:t>Higher productivity, innovation and use of spatial data through improved awareness of the value of spatial data and the spatial sector.</w:t>
            </w:r>
          </w:p>
        </w:tc>
      </w:tr>
    </w:tbl>
    <w:p w14:paraId="6EB1EDF4" w14:textId="77777777" w:rsidR="00255252" w:rsidRPr="002F5038" w:rsidRDefault="00255252" w:rsidP="00255252">
      <w:pPr>
        <w:rPr>
          <w:szCs w:val="20"/>
        </w:rPr>
      </w:pPr>
    </w:p>
    <w:p w14:paraId="3B029A2F" w14:textId="77777777" w:rsidR="00255252" w:rsidRDefault="00255252" w:rsidP="00255252"/>
    <w:p w14:paraId="6DE1D051" w14:textId="77777777" w:rsidR="00255252" w:rsidRDefault="00255252" w:rsidP="00255252"/>
    <w:p w14:paraId="0B01AC10" w14:textId="77777777" w:rsidR="00255252" w:rsidRDefault="00255252" w:rsidP="00255252"/>
    <w:p w14:paraId="5A32A65F" w14:textId="77777777" w:rsidR="00255252" w:rsidRDefault="00255252" w:rsidP="00255252"/>
    <w:p w14:paraId="64256C11" w14:textId="77777777" w:rsidR="00255252" w:rsidRDefault="00255252" w:rsidP="00255252"/>
    <w:p w14:paraId="0AAFB50D" w14:textId="77777777" w:rsidR="00255252" w:rsidRDefault="00255252" w:rsidP="00255252"/>
    <w:p w14:paraId="11C16448" w14:textId="77777777" w:rsidR="00255252" w:rsidRDefault="00255252" w:rsidP="00255252"/>
    <w:p w14:paraId="0509EE55" w14:textId="1E101E41" w:rsidR="002C6449" w:rsidRDefault="002C6449">
      <w:pPr>
        <w:spacing w:after="160" w:line="259" w:lineRule="auto"/>
        <w:sectPr w:rsidR="002C6449" w:rsidSect="006C3EE4">
          <w:pgSz w:w="16838" w:h="11906" w:orient="landscape"/>
          <w:pgMar w:top="737" w:right="851" w:bottom="709" w:left="232" w:header="567" w:footer="567" w:gutter="0"/>
          <w:cols w:space="709"/>
          <w:docGrid w:linePitch="360"/>
        </w:sectPr>
      </w:pPr>
    </w:p>
    <w:p w14:paraId="008667F3" w14:textId="1ED89B86" w:rsidR="005A09C7" w:rsidRPr="00587C70" w:rsidRDefault="005A09C7" w:rsidP="009E6C65">
      <w:pPr>
        <w:pStyle w:val="Heading2"/>
        <w:rPr>
          <w:color w:val="006699"/>
        </w:rPr>
      </w:pPr>
      <w:r w:rsidRPr="00587C70">
        <w:rPr>
          <w:color w:val="006699"/>
        </w:rPr>
        <w:t>References</w:t>
      </w:r>
    </w:p>
    <w:p w14:paraId="5E017A13" w14:textId="7F151207" w:rsidR="002F5038" w:rsidRPr="00884A47" w:rsidRDefault="002F5038" w:rsidP="00065C0E">
      <w:pPr>
        <w:pStyle w:val="ListParagraph"/>
        <w:numPr>
          <w:ilvl w:val="0"/>
          <w:numId w:val="7"/>
        </w:numPr>
        <w:rPr>
          <w:sz w:val="22"/>
        </w:rPr>
      </w:pPr>
      <w:r w:rsidRPr="00884A47">
        <w:rPr>
          <w:sz w:val="22"/>
        </w:rPr>
        <w:t>UN-</w:t>
      </w:r>
      <w:r w:rsidR="00021A0D" w:rsidRPr="00884A47">
        <w:rPr>
          <w:sz w:val="22"/>
        </w:rPr>
        <w:t xml:space="preserve">GGIM </w:t>
      </w:r>
      <w:r w:rsidRPr="00884A47">
        <w:rPr>
          <w:sz w:val="22"/>
        </w:rPr>
        <w:t>Committee of Experts, 2019, Integrated Geospatial Information Framework, (online)</w:t>
      </w:r>
    </w:p>
    <w:p w14:paraId="5B2F22F7" w14:textId="6A8BCC38" w:rsidR="002F5038" w:rsidRDefault="002B6DF6" w:rsidP="002F5038">
      <w:pPr>
        <w:pStyle w:val="ListParagraph"/>
        <w:ind w:left="360"/>
        <w:rPr>
          <w:sz w:val="22"/>
        </w:rPr>
      </w:pPr>
      <w:hyperlink r:id="rId18" w:history="1">
        <w:r w:rsidR="002F5038" w:rsidRPr="00884A47">
          <w:rPr>
            <w:rStyle w:val="Hyperlink"/>
            <w:sz w:val="22"/>
          </w:rPr>
          <w:t>https://ggim.un.org/IGIF/igif.cshtml</w:t>
        </w:r>
      </w:hyperlink>
      <w:r w:rsidR="002F5038" w:rsidRPr="00884A47">
        <w:rPr>
          <w:sz w:val="22"/>
        </w:rPr>
        <w:t>, accessed 11/12/2019</w:t>
      </w:r>
    </w:p>
    <w:p w14:paraId="265C369D" w14:textId="77777777" w:rsidR="0007455D" w:rsidRPr="00884A47" w:rsidRDefault="0007455D" w:rsidP="002F5038">
      <w:pPr>
        <w:pStyle w:val="ListParagraph"/>
        <w:ind w:left="360"/>
        <w:rPr>
          <w:sz w:val="22"/>
        </w:rPr>
      </w:pPr>
    </w:p>
    <w:p w14:paraId="546664F4" w14:textId="19232344" w:rsidR="002F5038" w:rsidRPr="0007455D" w:rsidRDefault="005A09C7" w:rsidP="0007455D">
      <w:pPr>
        <w:pStyle w:val="ListParagraph"/>
        <w:numPr>
          <w:ilvl w:val="0"/>
          <w:numId w:val="7"/>
        </w:numPr>
        <w:rPr>
          <w:sz w:val="22"/>
        </w:rPr>
      </w:pPr>
      <w:r w:rsidRPr="0007455D">
        <w:rPr>
          <w:sz w:val="22"/>
        </w:rPr>
        <w:t xml:space="preserve">Australian </w:t>
      </w:r>
      <w:r w:rsidR="002F5038" w:rsidRPr="0007455D">
        <w:rPr>
          <w:sz w:val="22"/>
        </w:rPr>
        <w:t>Government, 2019, Australian Infrastructure Audit 2019, (online)</w:t>
      </w:r>
    </w:p>
    <w:p w14:paraId="132CE2B6" w14:textId="6C8D8C7B" w:rsidR="007013FA" w:rsidRPr="00884A47" w:rsidRDefault="002B6DF6" w:rsidP="00713B18">
      <w:pPr>
        <w:pStyle w:val="ListParagraph"/>
        <w:ind w:left="360"/>
        <w:rPr>
          <w:sz w:val="22"/>
        </w:rPr>
      </w:pPr>
      <w:hyperlink r:id="rId19" w:history="1">
        <w:r w:rsidR="002F5038" w:rsidRPr="00884A47">
          <w:rPr>
            <w:rStyle w:val="Hyperlink"/>
            <w:sz w:val="22"/>
          </w:rPr>
          <w:t>https://www.infrastructureaustralia.gov.au/australian-infrastructure-audit-2019-transport</w:t>
        </w:r>
      </w:hyperlink>
      <w:r w:rsidR="002F5038" w:rsidRPr="00884A47">
        <w:rPr>
          <w:sz w:val="22"/>
        </w:rPr>
        <w:t>, accessed 10/08/2019</w:t>
      </w:r>
    </w:p>
    <w:p w14:paraId="0D532C18" w14:textId="77777777" w:rsidR="00713B18" w:rsidRPr="00884A47" w:rsidRDefault="00713B18" w:rsidP="00713B18">
      <w:pPr>
        <w:pStyle w:val="ListParagraph"/>
        <w:ind w:left="360"/>
        <w:rPr>
          <w:sz w:val="22"/>
        </w:rPr>
      </w:pPr>
    </w:p>
    <w:p w14:paraId="4B54B75A" w14:textId="7642EA0B" w:rsidR="002F5038" w:rsidRPr="00884A47" w:rsidRDefault="007013FA" w:rsidP="00065C0E">
      <w:pPr>
        <w:pStyle w:val="ListParagraph"/>
        <w:numPr>
          <w:ilvl w:val="0"/>
          <w:numId w:val="7"/>
        </w:numPr>
        <w:rPr>
          <w:sz w:val="22"/>
        </w:rPr>
      </w:pPr>
      <w:r w:rsidRPr="00884A47">
        <w:rPr>
          <w:sz w:val="22"/>
        </w:rPr>
        <w:t>Productivity Commission, 2017, Data Availability and Use, (online)</w:t>
      </w:r>
    </w:p>
    <w:p w14:paraId="3ABB9198" w14:textId="24B5FF67" w:rsidR="007013FA" w:rsidRPr="00884A47" w:rsidRDefault="002B6DF6" w:rsidP="007013FA">
      <w:pPr>
        <w:pStyle w:val="ListParagraph"/>
        <w:ind w:left="360"/>
        <w:rPr>
          <w:sz w:val="22"/>
        </w:rPr>
      </w:pPr>
      <w:hyperlink r:id="rId20" w:anchor="report" w:history="1">
        <w:r w:rsidR="007013FA" w:rsidRPr="00884A47">
          <w:rPr>
            <w:rStyle w:val="Hyperlink"/>
            <w:sz w:val="22"/>
          </w:rPr>
          <w:t>https://www.pc.gov.au/inquiries/completed/data-access#report</w:t>
        </w:r>
      </w:hyperlink>
      <w:r w:rsidR="007013FA" w:rsidRPr="00884A47">
        <w:rPr>
          <w:sz w:val="22"/>
        </w:rPr>
        <w:t>, accessed 12/08/2019</w:t>
      </w:r>
    </w:p>
    <w:p w14:paraId="7513CB10" w14:textId="77777777" w:rsidR="007013FA" w:rsidRPr="00884A47" w:rsidRDefault="007013FA" w:rsidP="007013FA">
      <w:pPr>
        <w:pStyle w:val="ListParagraph"/>
        <w:ind w:left="360"/>
        <w:rPr>
          <w:sz w:val="22"/>
        </w:rPr>
      </w:pPr>
    </w:p>
    <w:p w14:paraId="48CD3C13" w14:textId="06138359" w:rsidR="007013FA" w:rsidRPr="00884A47" w:rsidRDefault="007013FA" w:rsidP="00065C0E">
      <w:pPr>
        <w:pStyle w:val="ListParagraph"/>
        <w:numPr>
          <w:ilvl w:val="0"/>
          <w:numId w:val="7"/>
        </w:numPr>
        <w:rPr>
          <w:sz w:val="22"/>
        </w:rPr>
      </w:pPr>
      <w:r w:rsidRPr="00884A47">
        <w:rPr>
          <w:sz w:val="22"/>
        </w:rPr>
        <w:t xml:space="preserve">Australian Government, 2018, Australia’s Tech Future, (online) </w:t>
      </w:r>
    </w:p>
    <w:p w14:paraId="35A2B2A4" w14:textId="5B61B7C8" w:rsidR="007013FA" w:rsidRPr="00884A47" w:rsidRDefault="002B6DF6" w:rsidP="007013FA">
      <w:pPr>
        <w:pStyle w:val="ListParagraph"/>
        <w:ind w:left="360"/>
        <w:rPr>
          <w:sz w:val="22"/>
        </w:rPr>
      </w:pPr>
      <w:hyperlink r:id="rId21" w:history="1">
        <w:r w:rsidR="007013FA" w:rsidRPr="00884A47">
          <w:rPr>
            <w:rStyle w:val="Hyperlink"/>
            <w:sz w:val="22"/>
          </w:rPr>
          <w:t>https://www.industry.gov.au/data-and-publications/australias-tech-future</w:t>
        </w:r>
      </w:hyperlink>
      <w:r w:rsidR="007013FA" w:rsidRPr="00884A47">
        <w:rPr>
          <w:sz w:val="22"/>
        </w:rPr>
        <w:t>, accessed 12/08/2019</w:t>
      </w:r>
    </w:p>
    <w:p w14:paraId="0486862A" w14:textId="77777777" w:rsidR="007013FA" w:rsidRPr="00884A47" w:rsidRDefault="007013FA" w:rsidP="007013FA">
      <w:pPr>
        <w:pStyle w:val="ListParagraph"/>
        <w:ind w:left="360"/>
        <w:rPr>
          <w:sz w:val="22"/>
        </w:rPr>
      </w:pPr>
    </w:p>
    <w:p w14:paraId="13620AF1" w14:textId="3016EB30" w:rsidR="007013FA" w:rsidRPr="00884A47" w:rsidRDefault="007013FA" w:rsidP="00065C0E">
      <w:pPr>
        <w:pStyle w:val="ListParagraph"/>
        <w:numPr>
          <w:ilvl w:val="0"/>
          <w:numId w:val="7"/>
        </w:numPr>
        <w:rPr>
          <w:sz w:val="22"/>
        </w:rPr>
      </w:pPr>
      <w:r w:rsidRPr="00884A47">
        <w:rPr>
          <w:sz w:val="22"/>
        </w:rPr>
        <w:t>Australian Space Agency, 2019, Australian Civil Space Strategy 2019-2028, (online)</w:t>
      </w:r>
    </w:p>
    <w:p w14:paraId="51A11888" w14:textId="576C4901" w:rsidR="00713B18" w:rsidRPr="00884A47" w:rsidRDefault="002B6DF6" w:rsidP="00713B18">
      <w:pPr>
        <w:pStyle w:val="ListParagraph"/>
        <w:ind w:left="360"/>
        <w:rPr>
          <w:sz w:val="22"/>
        </w:rPr>
      </w:pPr>
      <w:hyperlink r:id="rId22" w:history="1">
        <w:r w:rsidR="007013FA" w:rsidRPr="00884A47">
          <w:rPr>
            <w:rStyle w:val="Hyperlink"/>
            <w:sz w:val="22"/>
          </w:rPr>
          <w:t>https://www.industry.gov.au/data-and-publications/australian-civil-space-strategy-2019-2028</w:t>
        </w:r>
      </w:hyperlink>
      <w:r w:rsidR="007013FA" w:rsidRPr="00884A47">
        <w:rPr>
          <w:sz w:val="22"/>
        </w:rPr>
        <w:t>, accessed 12/08/2019</w:t>
      </w:r>
    </w:p>
    <w:p w14:paraId="70399F80" w14:textId="77777777" w:rsidR="00713B18" w:rsidRPr="00884A47" w:rsidRDefault="00713B18" w:rsidP="00713B18">
      <w:pPr>
        <w:pStyle w:val="ListParagraph"/>
        <w:ind w:left="360"/>
        <w:rPr>
          <w:sz w:val="22"/>
        </w:rPr>
      </w:pPr>
    </w:p>
    <w:p w14:paraId="59282E49" w14:textId="3299CFD9" w:rsidR="005A09C7" w:rsidRPr="00884A47" w:rsidRDefault="007013FA" w:rsidP="007013FA">
      <w:pPr>
        <w:pStyle w:val="ListParagraph"/>
        <w:numPr>
          <w:ilvl w:val="0"/>
          <w:numId w:val="7"/>
        </w:numPr>
        <w:rPr>
          <w:sz w:val="22"/>
        </w:rPr>
      </w:pPr>
      <w:r w:rsidRPr="00884A47">
        <w:rPr>
          <w:sz w:val="22"/>
        </w:rPr>
        <w:t xml:space="preserve">Australian </w:t>
      </w:r>
      <w:r w:rsidR="005A09C7" w:rsidRPr="00884A47">
        <w:rPr>
          <w:sz w:val="22"/>
        </w:rPr>
        <w:t xml:space="preserve">Bureau of Statistics, 2018, 3222.0 Population Projections, (online) </w:t>
      </w:r>
      <w:hyperlink r:id="rId23" w:history="1">
        <w:r w:rsidR="00F81031" w:rsidRPr="00884A47">
          <w:rPr>
            <w:rStyle w:val="Hyperlink"/>
            <w:sz w:val="22"/>
          </w:rPr>
          <w:t>https://www.abs.gov.au/AUSSTATS/abs@.nsf/allprimarymainfeatures/A2C48F375A18E4C8CA25834C0010B2F7?opendocument</w:t>
        </w:r>
      </w:hyperlink>
      <w:r w:rsidR="005A09C7" w:rsidRPr="00884A47">
        <w:rPr>
          <w:sz w:val="22"/>
        </w:rPr>
        <w:t>, accessed 10/08/2019</w:t>
      </w:r>
    </w:p>
    <w:p w14:paraId="3C022E6B" w14:textId="77777777" w:rsidR="007013FA" w:rsidRPr="00884A47" w:rsidRDefault="007013FA" w:rsidP="007013FA">
      <w:pPr>
        <w:pStyle w:val="ListParagraph"/>
        <w:ind w:left="360"/>
        <w:rPr>
          <w:sz w:val="22"/>
        </w:rPr>
      </w:pPr>
    </w:p>
    <w:p w14:paraId="0D4E8209" w14:textId="77777777" w:rsidR="00BE2317" w:rsidRPr="00884A47" w:rsidRDefault="00F81031" w:rsidP="00BE2317">
      <w:pPr>
        <w:pStyle w:val="ListParagraph"/>
        <w:numPr>
          <w:ilvl w:val="0"/>
          <w:numId w:val="7"/>
        </w:numPr>
        <w:rPr>
          <w:sz w:val="22"/>
        </w:rPr>
      </w:pPr>
      <w:r w:rsidRPr="00884A47">
        <w:rPr>
          <w:sz w:val="22"/>
        </w:rPr>
        <w:t xml:space="preserve">New Zealand Government, 2016, Population estimates and projections, (online) </w:t>
      </w:r>
      <w:hyperlink r:id="rId24" w:history="1">
        <w:r w:rsidRPr="00884A47">
          <w:rPr>
            <w:rStyle w:val="Hyperlink"/>
            <w:sz w:val="22"/>
          </w:rPr>
          <w:t>https://www.stats.govt.nz/topics/population-estimates-and-projections</w:t>
        </w:r>
      </w:hyperlink>
      <w:r w:rsidRPr="00884A47">
        <w:rPr>
          <w:sz w:val="22"/>
        </w:rPr>
        <w:t>, accessed 11/08/2019</w:t>
      </w:r>
    </w:p>
    <w:p w14:paraId="6C05DAEB" w14:textId="77777777" w:rsidR="00BE2317" w:rsidRPr="00884A47" w:rsidRDefault="00BE2317" w:rsidP="00BE2317">
      <w:pPr>
        <w:pStyle w:val="ListParagraph"/>
        <w:rPr>
          <w:sz w:val="22"/>
        </w:rPr>
      </w:pPr>
    </w:p>
    <w:p w14:paraId="562A618C" w14:textId="77777777" w:rsidR="00021A0D" w:rsidRPr="00884A47" w:rsidRDefault="00F81031" w:rsidP="00021A0D">
      <w:pPr>
        <w:pStyle w:val="ListParagraph"/>
        <w:numPr>
          <w:ilvl w:val="0"/>
          <w:numId w:val="7"/>
        </w:numPr>
        <w:rPr>
          <w:sz w:val="22"/>
        </w:rPr>
      </w:pPr>
      <w:r w:rsidRPr="00884A47">
        <w:rPr>
          <w:sz w:val="22"/>
        </w:rPr>
        <w:t xml:space="preserve">New Zealand Treasury, 2018, Infrastructure, (online) </w:t>
      </w:r>
    </w:p>
    <w:p w14:paraId="5644FB05" w14:textId="46E43D0A" w:rsidR="00BE2317" w:rsidRPr="00884A47" w:rsidRDefault="002B6DF6" w:rsidP="00713B18">
      <w:pPr>
        <w:ind w:left="360"/>
        <w:rPr>
          <w:sz w:val="22"/>
        </w:rPr>
      </w:pPr>
      <w:hyperlink r:id="rId25" w:history="1">
        <w:r w:rsidR="00F81031" w:rsidRPr="00884A47">
          <w:rPr>
            <w:rStyle w:val="Hyperlink"/>
            <w:sz w:val="22"/>
          </w:rPr>
          <w:t>https://treasury.govt.nz/information-and-services/nz-economy/infrastructure</w:t>
        </w:r>
      </w:hyperlink>
      <w:r w:rsidR="00F81031" w:rsidRPr="00884A47">
        <w:rPr>
          <w:sz w:val="22"/>
        </w:rPr>
        <w:t xml:space="preserve">, accessed 11/08/2019 </w:t>
      </w:r>
    </w:p>
    <w:p w14:paraId="319339CC" w14:textId="539D57FA" w:rsidR="00F81031" w:rsidRPr="00884A47" w:rsidRDefault="00F81031" w:rsidP="00BE2317">
      <w:pPr>
        <w:pStyle w:val="ListParagraph"/>
        <w:numPr>
          <w:ilvl w:val="0"/>
          <w:numId w:val="7"/>
        </w:numPr>
        <w:rPr>
          <w:sz w:val="22"/>
        </w:rPr>
      </w:pPr>
      <w:r w:rsidRPr="00884A47">
        <w:rPr>
          <w:sz w:val="22"/>
        </w:rPr>
        <w:t xml:space="preserve">World Bank, 2019, CO2 emissions (metric tons per capita), (online) </w:t>
      </w:r>
      <w:hyperlink r:id="rId26" w:history="1">
        <w:r w:rsidRPr="00884A47">
          <w:rPr>
            <w:rStyle w:val="Hyperlink"/>
            <w:sz w:val="22"/>
          </w:rPr>
          <w:t>https://data.worldbank.org/indicator/en.atm.co2e.pc</w:t>
        </w:r>
      </w:hyperlink>
      <w:r w:rsidRPr="00884A47">
        <w:rPr>
          <w:sz w:val="22"/>
        </w:rPr>
        <w:t>, accessed 12/08/2019</w:t>
      </w:r>
    </w:p>
    <w:p w14:paraId="2B38C6C9" w14:textId="77777777" w:rsidR="00BE2317" w:rsidRPr="00884A47" w:rsidRDefault="00BE2317" w:rsidP="00BE2317">
      <w:pPr>
        <w:pStyle w:val="ListParagraph"/>
        <w:ind w:left="360"/>
        <w:rPr>
          <w:sz w:val="22"/>
        </w:rPr>
      </w:pPr>
    </w:p>
    <w:p w14:paraId="0FFD9470" w14:textId="77777777" w:rsidR="00021A0D" w:rsidRPr="00884A47" w:rsidRDefault="005F3CBD" w:rsidP="00065C0E">
      <w:pPr>
        <w:pStyle w:val="ListParagraph"/>
        <w:numPr>
          <w:ilvl w:val="0"/>
          <w:numId w:val="7"/>
        </w:numPr>
        <w:rPr>
          <w:sz w:val="22"/>
        </w:rPr>
      </w:pPr>
      <w:r w:rsidRPr="00884A47">
        <w:rPr>
          <w:sz w:val="22"/>
        </w:rPr>
        <w:t>IPCC, 2019, Global Warming of 1.5</w:t>
      </w:r>
      <w:r w:rsidRPr="00884A47">
        <w:rPr>
          <w:rFonts w:cs="Arial"/>
          <w:sz w:val="22"/>
        </w:rPr>
        <w:t>º</w:t>
      </w:r>
      <w:r w:rsidRPr="00884A47">
        <w:rPr>
          <w:sz w:val="22"/>
        </w:rPr>
        <w:t xml:space="preserve">C, (online) </w:t>
      </w:r>
    </w:p>
    <w:p w14:paraId="6DA8E02B" w14:textId="67D1DC36" w:rsidR="00713B18" w:rsidRPr="001F3A81" w:rsidRDefault="002B6DF6" w:rsidP="001F3A81">
      <w:pPr>
        <w:ind w:left="360"/>
        <w:rPr>
          <w:sz w:val="22"/>
        </w:rPr>
      </w:pPr>
      <w:hyperlink r:id="rId27" w:history="1">
        <w:r w:rsidR="005F3CBD" w:rsidRPr="00884A47">
          <w:rPr>
            <w:rStyle w:val="Hyperlink"/>
            <w:sz w:val="22"/>
          </w:rPr>
          <w:t>https://www.ipcc.ch/sr15/</w:t>
        </w:r>
      </w:hyperlink>
      <w:r w:rsidR="005F3CBD" w:rsidRPr="00884A47">
        <w:rPr>
          <w:sz w:val="22"/>
        </w:rPr>
        <w:t>, accessed 27/08/2019</w:t>
      </w:r>
    </w:p>
    <w:p w14:paraId="02ACB667" w14:textId="77777777" w:rsidR="00713B18" w:rsidRDefault="00713B18" w:rsidP="00BE2317"/>
    <w:p w14:paraId="36DE4CBC" w14:textId="5D8163D3" w:rsidR="00713B18" w:rsidRPr="00713B18" w:rsidRDefault="00713B18" w:rsidP="00BE2317">
      <w:pPr>
        <w:rPr>
          <w:b/>
          <w:sz w:val="24"/>
        </w:rPr>
      </w:pPr>
    </w:p>
    <w:sectPr w:rsidR="00713B18" w:rsidRPr="00713B18" w:rsidSect="006706B9">
      <w:pgSz w:w="11906" w:h="16838"/>
      <w:pgMar w:top="1134" w:right="1134" w:bottom="0" w:left="1134" w:header="709" w:footer="70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531FB" w14:textId="77777777" w:rsidR="000C0512" w:rsidRDefault="000C0512" w:rsidP="007240FE">
      <w:pPr>
        <w:spacing w:after="0" w:line="240" w:lineRule="auto"/>
      </w:pPr>
      <w:r>
        <w:separator/>
      </w:r>
    </w:p>
  </w:endnote>
  <w:endnote w:type="continuationSeparator" w:id="0">
    <w:p w14:paraId="56891B18" w14:textId="77777777" w:rsidR="000C0512" w:rsidRDefault="000C0512" w:rsidP="007240FE">
      <w:pPr>
        <w:spacing w:after="0" w:line="240" w:lineRule="auto"/>
      </w:pPr>
      <w:r>
        <w:continuationSeparator/>
      </w:r>
    </w:p>
  </w:endnote>
  <w:endnote w:type="continuationNotice" w:id="1">
    <w:p w14:paraId="336E5C29" w14:textId="77777777" w:rsidR="000C0512" w:rsidRDefault="000C05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46C88" w14:textId="77777777" w:rsidR="000C0512" w:rsidRDefault="000C0512">
    <w:pPr>
      <w:pStyle w:val="Footer"/>
      <w:jc w:val="right"/>
    </w:pPr>
    <w:r>
      <w:t>Document title goes here</w:t>
    </w:r>
    <w:r>
      <w:tab/>
      <w:t>industry.gov.au</w:t>
    </w:r>
    <w:r>
      <w:tab/>
    </w:r>
    <w:sdt>
      <w:sdtPr>
        <w:id w:val="69696772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4DE46C89" w14:textId="77777777" w:rsidR="000C0512" w:rsidRDefault="000C05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379C0" w14:textId="77777777" w:rsidR="000C0512" w:rsidRDefault="000C0512" w:rsidP="007240FE">
      <w:pPr>
        <w:spacing w:after="0" w:line="240" w:lineRule="auto"/>
      </w:pPr>
      <w:r>
        <w:separator/>
      </w:r>
    </w:p>
  </w:footnote>
  <w:footnote w:type="continuationSeparator" w:id="0">
    <w:p w14:paraId="5CB9ECE6" w14:textId="77777777" w:rsidR="000C0512" w:rsidRDefault="000C0512" w:rsidP="007240FE">
      <w:pPr>
        <w:spacing w:after="0" w:line="240" w:lineRule="auto"/>
      </w:pPr>
      <w:r>
        <w:continuationSeparator/>
      </w:r>
    </w:p>
  </w:footnote>
  <w:footnote w:type="continuationNotice" w:id="1">
    <w:p w14:paraId="29D2E779" w14:textId="77777777" w:rsidR="000C0512" w:rsidRDefault="000C051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46C87" w14:textId="77777777" w:rsidR="000C0512" w:rsidRDefault="000C0512" w:rsidP="007240FE">
    <w:pPr>
      <w:pStyle w:val="Header"/>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C803066"/>
    <w:lvl w:ilvl="0">
      <w:start w:val="1"/>
      <w:numFmt w:val="bullet"/>
      <w:pStyle w:val="ListBullet2"/>
      <w:lvlText w:val="-"/>
      <w:lvlJc w:val="left"/>
      <w:pPr>
        <w:ind w:left="643" w:hanging="360"/>
      </w:pPr>
      <w:rPr>
        <w:rFonts w:ascii="Courier New" w:hAnsi="Courier New" w:hint="default"/>
        <w:color w:val="005677" w:themeColor="accent1"/>
      </w:rPr>
    </w:lvl>
  </w:abstractNum>
  <w:abstractNum w:abstractNumId="1" w15:restartNumberingAfterBreak="0">
    <w:nsid w:val="00A019BC"/>
    <w:multiLevelType w:val="hybridMultilevel"/>
    <w:tmpl w:val="03845D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6F032A"/>
    <w:multiLevelType w:val="hybridMultilevel"/>
    <w:tmpl w:val="05C0DE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3A462BA"/>
    <w:multiLevelType w:val="hybridMultilevel"/>
    <w:tmpl w:val="6CAA44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8AD7986"/>
    <w:multiLevelType w:val="hybridMultilevel"/>
    <w:tmpl w:val="B2EC78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CC640FB"/>
    <w:multiLevelType w:val="hybridMultilevel"/>
    <w:tmpl w:val="197883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E0A4AB5"/>
    <w:multiLevelType w:val="hybridMultilevel"/>
    <w:tmpl w:val="E4BEF5F6"/>
    <w:lvl w:ilvl="0" w:tplc="24EE11FA">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5650152"/>
    <w:multiLevelType w:val="hybridMultilevel"/>
    <w:tmpl w:val="FFE6CDE8"/>
    <w:lvl w:ilvl="0" w:tplc="C33A2A5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882F95"/>
    <w:multiLevelType w:val="hybridMultilevel"/>
    <w:tmpl w:val="0810C3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ED514B8"/>
    <w:multiLevelType w:val="hybridMultilevel"/>
    <w:tmpl w:val="FA74CE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F4E2756"/>
    <w:multiLevelType w:val="hybridMultilevel"/>
    <w:tmpl w:val="85F0EABE"/>
    <w:lvl w:ilvl="0" w:tplc="03B0D284">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843928"/>
    <w:multiLevelType w:val="hybridMultilevel"/>
    <w:tmpl w:val="624EE9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4017458"/>
    <w:multiLevelType w:val="hybridMultilevel"/>
    <w:tmpl w:val="2E34CC8C"/>
    <w:lvl w:ilvl="0" w:tplc="9D4AA2AA">
      <w:start w:val="1"/>
      <w:numFmt w:val="decimal"/>
      <w:lvlText w:val="%1."/>
      <w:lvlJc w:val="left"/>
      <w:pPr>
        <w:ind w:left="360" w:hanging="360"/>
      </w:pPr>
      <w:rPr>
        <w:rFonts w:hint="default"/>
        <w:b/>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45217A0"/>
    <w:multiLevelType w:val="hybridMultilevel"/>
    <w:tmpl w:val="F78407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4BA2DAB"/>
    <w:multiLevelType w:val="hybridMultilevel"/>
    <w:tmpl w:val="630C32AA"/>
    <w:lvl w:ilvl="0" w:tplc="68E6D72C">
      <w:start w:val="1"/>
      <w:numFmt w:val="bullet"/>
      <w:pStyle w:val="ListBullet"/>
      <w:lvlText w:val=""/>
      <w:lvlJc w:val="left"/>
      <w:pPr>
        <w:ind w:left="720" w:hanging="360"/>
      </w:pPr>
      <w:rPr>
        <w:rFonts w:ascii="Symbol" w:hAnsi="Symbol" w:hint="default"/>
        <w:color w:val="005677" w:themeColor="accent1"/>
      </w:rPr>
    </w:lvl>
    <w:lvl w:ilvl="1" w:tplc="21E8437E">
      <w:start w:val="1"/>
      <w:numFmt w:val="bullet"/>
      <w:lvlText w:val="-"/>
      <w:lvlJc w:val="left"/>
      <w:pPr>
        <w:ind w:left="1440" w:hanging="360"/>
      </w:pPr>
      <w:rPr>
        <w:rFonts w:ascii="Courier New" w:hAnsi="Courier New" w:hint="default"/>
        <w:color w:val="005677" w:themeColor="accen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213B9F"/>
    <w:multiLevelType w:val="hybridMultilevel"/>
    <w:tmpl w:val="9BC67C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1107ABF"/>
    <w:multiLevelType w:val="hybridMultilevel"/>
    <w:tmpl w:val="7CF8D7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67A3201"/>
    <w:multiLevelType w:val="hybridMultilevel"/>
    <w:tmpl w:val="BFCA27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A115739"/>
    <w:multiLevelType w:val="hybridMultilevel"/>
    <w:tmpl w:val="EA149E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DAB7A26"/>
    <w:multiLevelType w:val="hybridMultilevel"/>
    <w:tmpl w:val="3376AC4E"/>
    <w:lvl w:ilvl="0" w:tplc="D680A38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F50BAE"/>
    <w:multiLevelType w:val="hybridMultilevel"/>
    <w:tmpl w:val="24A2AA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812148B"/>
    <w:multiLevelType w:val="hybridMultilevel"/>
    <w:tmpl w:val="00DA0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C03615"/>
    <w:multiLevelType w:val="hybridMultilevel"/>
    <w:tmpl w:val="1116CB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5DE6AAD"/>
    <w:multiLevelType w:val="hybridMultilevel"/>
    <w:tmpl w:val="880836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6DD1D55"/>
    <w:multiLevelType w:val="hybridMultilevel"/>
    <w:tmpl w:val="0E9E0D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9043B39"/>
    <w:multiLevelType w:val="hybridMultilevel"/>
    <w:tmpl w:val="C492B4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9F54D38"/>
    <w:multiLevelType w:val="hybridMultilevel"/>
    <w:tmpl w:val="3B3020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AAA6A4D"/>
    <w:multiLevelType w:val="hybridMultilevel"/>
    <w:tmpl w:val="BFD876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05E3387"/>
    <w:multiLevelType w:val="hybridMultilevel"/>
    <w:tmpl w:val="9C88AA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0A905EB"/>
    <w:multiLevelType w:val="hybridMultilevel"/>
    <w:tmpl w:val="777076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1122BD4"/>
    <w:multiLevelType w:val="hybridMultilevel"/>
    <w:tmpl w:val="24BC94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3452C17"/>
    <w:multiLevelType w:val="hybridMultilevel"/>
    <w:tmpl w:val="63169E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E1E461F"/>
    <w:multiLevelType w:val="hybridMultilevel"/>
    <w:tmpl w:val="7B74834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E8378D3"/>
    <w:multiLevelType w:val="hybridMultilevel"/>
    <w:tmpl w:val="12A6D8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1F0633D"/>
    <w:multiLevelType w:val="hybridMultilevel"/>
    <w:tmpl w:val="C380774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24A5C0B"/>
    <w:multiLevelType w:val="hybridMultilevel"/>
    <w:tmpl w:val="C49882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41A5364"/>
    <w:multiLevelType w:val="hybridMultilevel"/>
    <w:tmpl w:val="E0F6DF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87A3465"/>
    <w:multiLevelType w:val="hybridMultilevel"/>
    <w:tmpl w:val="6E24D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E05128"/>
    <w:multiLevelType w:val="hybridMultilevel"/>
    <w:tmpl w:val="80CCB2B6"/>
    <w:lvl w:ilvl="0" w:tplc="632E3620">
      <w:start w:val="1"/>
      <w:numFmt w:val="decimal"/>
      <w:lvlText w:val="%1."/>
      <w:lvlJc w:val="left"/>
      <w:pPr>
        <w:ind w:left="-708" w:hanging="360"/>
      </w:pPr>
      <w:rPr>
        <w:b/>
        <w:color w:val="auto"/>
      </w:rPr>
    </w:lvl>
    <w:lvl w:ilvl="1" w:tplc="0C090019" w:tentative="1">
      <w:start w:val="1"/>
      <w:numFmt w:val="lowerLetter"/>
      <w:lvlText w:val="%2."/>
      <w:lvlJc w:val="left"/>
      <w:pPr>
        <w:ind w:left="12" w:hanging="360"/>
      </w:pPr>
    </w:lvl>
    <w:lvl w:ilvl="2" w:tplc="0C09001B" w:tentative="1">
      <w:start w:val="1"/>
      <w:numFmt w:val="lowerRoman"/>
      <w:lvlText w:val="%3."/>
      <w:lvlJc w:val="right"/>
      <w:pPr>
        <w:ind w:left="732" w:hanging="180"/>
      </w:pPr>
    </w:lvl>
    <w:lvl w:ilvl="3" w:tplc="0C09000F" w:tentative="1">
      <w:start w:val="1"/>
      <w:numFmt w:val="decimal"/>
      <w:lvlText w:val="%4."/>
      <w:lvlJc w:val="left"/>
      <w:pPr>
        <w:ind w:left="1452" w:hanging="360"/>
      </w:pPr>
    </w:lvl>
    <w:lvl w:ilvl="4" w:tplc="0C090019" w:tentative="1">
      <w:start w:val="1"/>
      <w:numFmt w:val="lowerLetter"/>
      <w:lvlText w:val="%5."/>
      <w:lvlJc w:val="left"/>
      <w:pPr>
        <w:ind w:left="2172" w:hanging="360"/>
      </w:pPr>
    </w:lvl>
    <w:lvl w:ilvl="5" w:tplc="0C09001B" w:tentative="1">
      <w:start w:val="1"/>
      <w:numFmt w:val="lowerRoman"/>
      <w:lvlText w:val="%6."/>
      <w:lvlJc w:val="right"/>
      <w:pPr>
        <w:ind w:left="2892" w:hanging="180"/>
      </w:pPr>
    </w:lvl>
    <w:lvl w:ilvl="6" w:tplc="0C09000F" w:tentative="1">
      <w:start w:val="1"/>
      <w:numFmt w:val="decimal"/>
      <w:lvlText w:val="%7."/>
      <w:lvlJc w:val="left"/>
      <w:pPr>
        <w:ind w:left="3612" w:hanging="360"/>
      </w:pPr>
    </w:lvl>
    <w:lvl w:ilvl="7" w:tplc="0C090019" w:tentative="1">
      <w:start w:val="1"/>
      <w:numFmt w:val="lowerLetter"/>
      <w:lvlText w:val="%8."/>
      <w:lvlJc w:val="left"/>
      <w:pPr>
        <w:ind w:left="4332" w:hanging="360"/>
      </w:pPr>
    </w:lvl>
    <w:lvl w:ilvl="8" w:tplc="0C09001B" w:tentative="1">
      <w:start w:val="1"/>
      <w:numFmt w:val="lowerRoman"/>
      <w:lvlText w:val="%9."/>
      <w:lvlJc w:val="right"/>
      <w:pPr>
        <w:ind w:left="5052" w:hanging="180"/>
      </w:pPr>
    </w:lvl>
  </w:abstractNum>
  <w:abstractNum w:abstractNumId="39" w15:restartNumberingAfterBreak="0">
    <w:nsid w:val="7CAD3A84"/>
    <w:multiLevelType w:val="hybridMultilevel"/>
    <w:tmpl w:val="7A1600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4"/>
  </w:num>
  <w:num w:numId="3">
    <w:abstractNumId w:val="10"/>
  </w:num>
  <w:num w:numId="4">
    <w:abstractNumId w:val="38"/>
  </w:num>
  <w:num w:numId="5">
    <w:abstractNumId w:val="19"/>
  </w:num>
  <w:num w:numId="6">
    <w:abstractNumId w:val="12"/>
  </w:num>
  <w:num w:numId="7">
    <w:abstractNumId w:val="32"/>
  </w:num>
  <w:num w:numId="8">
    <w:abstractNumId w:val="26"/>
  </w:num>
  <w:num w:numId="9">
    <w:abstractNumId w:val="24"/>
  </w:num>
  <w:num w:numId="10">
    <w:abstractNumId w:val="27"/>
  </w:num>
  <w:num w:numId="11">
    <w:abstractNumId w:val="4"/>
  </w:num>
  <w:num w:numId="12">
    <w:abstractNumId w:val="6"/>
  </w:num>
  <w:num w:numId="13">
    <w:abstractNumId w:val="7"/>
  </w:num>
  <w:num w:numId="14">
    <w:abstractNumId w:val="29"/>
  </w:num>
  <w:num w:numId="15">
    <w:abstractNumId w:val="9"/>
  </w:num>
  <w:num w:numId="16">
    <w:abstractNumId w:val="37"/>
  </w:num>
  <w:num w:numId="17">
    <w:abstractNumId w:val="35"/>
  </w:num>
  <w:num w:numId="18">
    <w:abstractNumId w:val="39"/>
  </w:num>
  <w:num w:numId="19">
    <w:abstractNumId w:val="25"/>
  </w:num>
  <w:num w:numId="20">
    <w:abstractNumId w:val="11"/>
  </w:num>
  <w:num w:numId="21">
    <w:abstractNumId w:val="1"/>
  </w:num>
  <w:num w:numId="22">
    <w:abstractNumId w:val="22"/>
  </w:num>
  <w:num w:numId="23">
    <w:abstractNumId w:val="3"/>
  </w:num>
  <w:num w:numId="24">
    <w:abstractNumId w:val="5"/>
  </w:num>
  <w:num w:numId="25">
    <w:abstractNumId w:val="2"/>
  </w:num>
  <w:num w:numId="26">
    <w:abstractNumId w:val="31"/>
  </w:num>
  <w:num w:numId="27">
    <w:abstractNumId w:val="18"/>
  </w:num>
  <w:num w:numId="28">
    <w:abstractNumId w:val="28"/>
  </w:num>
  <w:num w:numId="29">
    <w:abstractNumId w:val="36"/>
  </w:num>
  <w:num w:numId="30">
    <w:abstractNumId w:val="21"/>
  </w:num>
  <w:num w:numId="31">
    <w:abstractNumId w:val="16"/>
  </w:num>
  <w:num w:numId="32">
    <w:abstractNumId w:val="15"/>
  </w:num>
  <w:num w:numId="33">
    <w:abstractNumId w:val="20"/>
  </w:num>
  <w:num w:numId="34">
    <w:abstractNumId w:val="30"/>
  </w:num>
  <w:num w:numId="35">
    <w:abstractNumId w:val="13"/>
  </w:num>
  <w:num w:numId="36">
    <w:abstractNumId w:val="8"/>
  </w:num>
  <w:num w:numId="37">
    <w:abstractNumId w:val="33"/>
  </w:num>
  <w:num w:numId="38">
    <w:abstractNumId w:val="17"/>
  </w:num>
  <w:num w:numId="39">
    <w:abstractNumId w:val="23"/>
  </w:num>
  <w:num w:numId="40">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53D"/>
    <w:rsid w:val="00006818"/>
    <w:rsid w:val="00007216"/>
    <w:rsid w:val="000072BD"/>
    <w:rsid w:val="0001262B"/>
    <w:rsid w:val="0001799E"/>
    <w:rsid w:val="00021A0D"/>
    <w:rsid w:val="00027BA6"/>
    <w:rsid w:val="000300ED"/>
    <w:rsid w:val="00033394"/>
    <w:rsid w:val="000377CE"/>
    <w:rsid w:val="00037BCA"/>
    <w:rsid w:val="00040232"/>
    <w:rsid w:val="0004371B"/>
    <w:rsid w:val="00047B77"/>
    <w:rsid w:val="00053322"/>
    <w:rsid w:val="000537AE"/>
    <w:rsid w:val="00061593"/>
    <w:rsid w:val="00063040"/>
    <w:rsid w:val="00065C0E"/>
    <w:rsid w:val="00066DCC"/>
    <w:rsid w:val="000675D3"/>
    <w:rsid w:val="000676FF"/>
    <w:rsid w:val="000719C1"/>
    <w:rsid w:val="0007365A"/>
    <w:rsid w:val="0007455D"/>
    <w:rsid w:val="0008149D"/>
    <w:rsid w:val="0008291F"/>
    <w:rsid w:val="000A0473"/>
    <w:rsid w:val="000A4A78"/>
    <w:rsid w:val="000A5E0F"/>
    <w:rsid w:val="000B0457"/>
    <w:rsid w:val="000B4171"/>
    <w:rsid w:val="000B671F"/>
    <w:rsid w:val="000C0512"/>
    <w:rsid w:val="000C5F1E"/>
    <w:rsid w:val="000D12A3"/>
    <w:rsid w:val="000D3624"/>
    <w:rsid w:val="000D5632"/>
    <w:rsid w:val="000F294A"/>
    <w:rsid w:val="000F7878"/>
    <w:rsid w:val="00100092"/>
    <w:rsid w:val="00116669"/>
    <w:rsid w:val="001238E0"/>
    <w:rsid w:val="00140DD0"/>
    <w:rsid w:val="00145FE6"/>
    <w:rsid w:val="001474C5"/>
    <w:rsid w:val="001556E2"/>
    <w:rsid w:val="00157609"/>
    <w:rsid w:val="00164F83"/>
    <w:rsid w:val="001656FE"/>
    <w:rsid w:val="00170C2B"/>
    <w:rsid w:val="001768A9"/>
    <w:rsid w:val="001778F5"/>
    <w:rsid w:val="00193A54"/>
    <w:rsid w:val="00197EF1"/>
    <w:rsid w:val="001A09CA"/>
    <w:rsid w:val="001A2984"/>
    <w:rsid w:val="001A370E"/>
    <w:rsid w:val="001A4B8D"/>
    <w:rsid w:val="001B1CB6"/>
    <w:rsid w:val="001B756A"/>
    <w:rsid w:val="001C0363"/>
    <w:rsid w:val="001D2C1D"/>
    <w:rsid w:val="001D47F4"/>
    <w:rsid w:val="001D74E4"/>
    <w:rsid w:val="001E0EA4"/>
    <w:rsid w:val="001E22AE"/>
    <w:rsid w:val="001E3649"/>
    <w:rsid w:val="001F0B3A"/>
    <w:rsid w:val="001F3A81"/>
    <w:rsid w:val="00204ED1"/>
    <w:rsid w:val="00211537"/>
    <w:rsid w:val="002129FD"/>
    <w:rsid w:val="00214F5E"/>
    <w:rsid w:val="00216369"/>
    <w:rsid w:val="0022041D"/>
    <w:rsid w:val="00221743"/>
    <w:rsid w:val="0022275A"/>
    <w:rsid w:val="00226193"/>
    <w:rsid w:val="002453F8"/>
    <w:rsid w:val="00246F4A"/>
    <w:rsid w:val="0025257C"/>
    <w:rsid w:val="00255252"/>
    <w:rsid w:val="002618A6"/>
    <w:rsid w:val="002657F7"/>
    <w:rsid w:val="002658FA"/>
    <w:rsid w:val="00270550"/>
    <w:rsid w:val="0027409F"/>
    <w:rsid w:val="00276589"/>
    <w:rsid w:val="00280DA2"/>
    <w:rsid w:val="002912B0"/>
    <w:rsid w:val="00291405"/>
    <w:rsid w:val="002A2602"/>
    <w:rsid w:val="002A26B8"/>
    <w:rsid w:val="002A44B6"/>
    <w:rsid w:val="002A47F4"/>
    <w:rsid w:val="002A5107"/>
    <w:rsid w:val="002B08FD"/>
    <w:rsid w:val="002B24A4"/>
    <w:rsid w:val="002B6DF6"/>
    <w:rsid w:val="002C08E7"/>
    <w:rsid w:val="002C1762"/>
    <w:rsid w:val="002C6449"/>
    <w:rsid w:val="002C65F2"/>
    <w:rsid w:val="002C7B22"/>
    <w:rsid w:val="002D13FC"/>
    <w:rsid w:val="002D4575"/>
    <w:rsid w:val="002E0B75"/>
    <w:rsid w:val="002E3CC5"/>
    <w:rsid w:val="002F2F4A"/>
    <w:rsid w:val="002F345D"/>
    <w:rsid w:val="002F5038"/>
    <w:rsid w:val="002F71E7"/>
    <w:rsid w:val="0030123C"/>
    <w:rsid w:val="003043FE"/>
    <w:rsid w:val="0030727D"/>
    <w:rsid w:val="00315328"/>
    <w:rsid w:val="00315E9A"/>
    <w:rsid w:val="003225B4"/>
    <w:rsid w:val="003235DA"/>
    <w:rsid w:val="00325F19"/>
    <w:rsid w:val="00326D00"/>
    <w:rsid w:val="00332D1D"/>
    <w:rsid w:val="00332ECA"/>
    <w:rsid w:val="00333002"/>
    <w:rsid w:val="003474F8"/>
    <w:rsid w:val="00354A3B"/>
    <w:rsid w:val="0036082A"/>
    <w:rsid w:val="0036117E"/>
    <w:rsid w:val="00364216"/>
    <w:rsid w:val="003719CB"/>
    <w:rsid w:val="003735EB"/>
    <w:rsid w:val="00376E7F"/>
    <w:rsid w:val="003866B5"/>
    <w:rsid w:val="003925B1"/>
    <w:rsid w:val="003927CB"/>
    <w:rsid w:val="003934C1"/>
    <w:rsid w:val="00397EBA"/>
    <w:rsid w:val="003A1FE6"/>
    <w:rsid w:val="003B129B"/>
    <w:rsid w:val="003B19F4"/>
    <w:rsid w:val="003B3442"/>
    <w:rsid w:val="003B365B"/>
    <w:rsid w:val="003B7E91"/>
    <w:rsid w:val="003C26C9"/>
    <w:rsid w:val="003C27EF"/>
    <w:rsid w:val="003C31F4"/>
    <w:rsid w:val="003C407A"/>
    <w:rsid w:val="003C4840"/>
    <w:rsid w:val="003D2D9C"/>
    <w:rsid w:val="003D4E3C"/>
    <w:rsid w:val="003E6977"/>
    <w:rsid w:val="003F5046"/>
    <w:rsid w:val="003F5B47"/>
    <w:rsid w:val="003F6AD9"/>
    <w:rsid w:val="0040214C"/>
    <w:rsid w:val="00405295"/>
    <w:rsid w:val="004222BE"/>
    <w:rsid w:val="004238A2"/>
    <w:rsid w:val="00425D55"/>
    <w:rsid w:val="0043565B"/>
    <w:rsid w:val="004375C8"/>
    <w:rsid w:val="00464752"/>
    <w:rsid w:val="004729BB"/>
    <w:rsid w:val="004846DC"/>
    <w:rsid w:val="0049567A"/>
    <w:rsid w:val="004A3E2D"/>
    <w:rsid w:val="004A4336"/>
    <w:rsid w:val="004B14B8"/>
    <w:rsid w:val="004B4ECE"/>
    <w:rsid w:val="004B7A1B"/>
    <w:rsid w:val="004C0ADD"/>
    <w:rsid w:val="004C3712"/>
    <w:rsid w:val="004C6042"/>
    <w:rsid w:val="004D3176"/>
    <w:rsid w:val="004E0FFC"/>
    <w:rsid w:val="004E13B2"/>
    <w:rsid w:val="004E18D5"/>
    <w:rsid w:val="004E3D93"/>
    <w:rsid w:val="004F1832"/>
    <w:rsid w:val="004F3119"/>
    <w:rsid w:val="00504655"/>
    <w:rsid w:val="00527E00"/>
    <w:rsid w:val="005319E4"/>
    <w:rsid w:val="00534FAC"/>
    <w:rsid w:val="005359EB"/>
    <w:rsid w:val="00537961"/>
    <w:rsid w:val="005415C1"/>
    <w:rsid w:val="00542478"/>
    <w:rsid w:val="0054452E"/>
    <w:rsid w:val="00565E17"/>
    <w:rsid w:val="005675A1"/>
    <w:rsid w:val="00572033"/>
    <w:rsid w:val="0057252E"/>
    <w:rsid w:val="00574049"/>
    <w:rsid w:val="00580203"/>
    <w:rsid w:val="005852D1"/>
    <w:rsid w:val="00587C70"/>
    <w:rsid w:val="005964BF"/>
    <w:rsid w:val="005A09C7"/>
    <w:rsid w:val="005A3088"/>
    <w:rsid w:val="005A4192"/>
    <w:rsid w:val="005A6C0E"/>
    <w:rsid w:val="005A7A87"/>
    <w:rsid w:val="005B197E"/>
    <w:rsid w:val="005B2ACA"/>
    <w:rsid w:val="005B3A17"/>
    <w:rsid w:val="005B6A63"/>
    <w:rsid w:val="005C22C9"/>
    <w:rsid w:val="005C2356"/>
    <w:rsid w:val="005C2889"/>
    <w:rsid w:val="005C6243"/>
    <w:rsid w:val="005C69A7"/>
    <w:rsid w:val="005D43D9"/>
    <w:rsid w:val="005D66DD"/>
    <w:rsid w:val="005D7C97"/>
    <w:rsid w:val="005E4C18"/>
    <w:rsid w:val="005E6B0E"/>
    <w:rsid w:val="005E6F47"/>
    <w:rsid w:val="005F20F6"/>
    <w:rsid w:val="005F3CBD"/>
    <w:rsid w:val="00601229"/>
    <w:rsid w:val="00602576"/>
    <w:rsid w:val="00602A10"/>
    <w:rsid w:val="00610F06"/>
    <w:rsid w:val="00611360"/>
    <w:rsid w:val="006123D9"/>
    <w:rsid w:val="006225D0"/>
    <w:rsid w:val="006302E4"/>
    <w:rsid w:val="00630E89"/>
    <w:rsid w:val="006319D1"/>
    <w:rsid w:val="00632AE0"/>
    <w:rsid w:val="00635171"/>
    <w:rsid w:val="006362C1"/>
    <w:rsid w:val="00641170"/>
    <w:rsid w:val="00654790"/>
    <w:rsid w:val="00656421"/>
    <w:rsid w:val="00656F5E"/>
    <w:rsid w:val="00667222"/>
    <w:rsid w:val="006706B9"/>
    <w:rsid w:val="00670962"/>
    <w:rsid w:val="00670B52"/>
    <w:rsid w:val="00670F35"/>
    <w:rsid w:val="00673167"/>
    <w:rsid w:val="00680EBE"/>
    <w:rsid w:val="006812E8"/>
    <w:rsid w:val="0069601E"/>
    <w:rsid w:val="00696EA4"/>
    <w:rsid w:val="006A028E"/>
    <w:rsid w:val="006A0E23"/>
    <w:rsid w:val="006A203C"/>
    <w:rsid w:val="006A29FF"/>
    <w:rsid w:val="006A62E2"/>
    <w:rsid w:val="006A6B57"/>
    <w:rsid w:val="006C3EE4"/>
    <w:rsid w:val="006C4CEA"/>
    <w:rsid w:val="006C5116"/>
    <w:rsid w:val="006C62CF"/>
    <w:rsid w:val="006C7C7B"/>
    <w:rsid w:val="006D1DCD"/>
    <w:rsid w:val="006D6F99"/>
    <w:rsid w:val="006E0FE2"/>
    <w:rsid w:val="006E5828"/>
    <w:rsid w:val="006F2D09"/>
    <w:rsid w:val="006F5397"/>
    <w:rsid w:val="007004E7"/>
    <w:rsid w:val="00700E91"/>
    <w:rsid w:val="007013FA"/>
    <w:rsid w:val="0070228E"/>
    <w:rsid w:val="00705EF6"/>
    <w:rsid w:val="00713B18"/>
    <w:rsid w:val="00715010"/>
    <w:rsid w:val="00723627"/>
    <w:rsid w:val="0072402F"/>
    <w:rsid w:val="007240FE"/>
    <w:rsid w:val="00726AE3"/>
    <w:rsid w:val="00733C33"/>
    <w:rsid w:val="00746484"/>
    <w:rsid w:val="00750D77"/>
    <w:rsid w:val="007610DD"/>
    <w:rsid w:val="00764760"/>
    <w:rsid w:val="00765C15"/>
    <w:rsid w:val="00766F70"/>
    <w:rsid w:val="00783677"/>
    <w:rsid w:val="00784483"/>
    <w:rsid w:val="007857EF"/>
    <w:rsid w:val="007861C3"/>
    <w:rsid w:val="0079381B"/>
    <w:rsid w:val="007A5308"/>
    <w:rsid w:val="007B103E"/>
    <w:rsid w:val="007B318C"/>
    <w:rsid w:val="007C450C"/>
    <w:rsid w:val="007C571D"/>
    <w:rsid w:val="007C59AB"/>
    <w:rsid w:val="007E162B"/>
    <w:rsid w:val="007E307D"/>
    <w:rsid w:val="007F51FE"/>
    <w:rsid w:val="00800342"/>
    <w:rsid w:val="00804888"/>
    <w:rsid w:val="0080552F"/>
    <w:rsid w:val="00811349"/>
    <w:rsid w:val="00817C29"/>
    <w:rsid w:val="00820DD9"/>
    <w:rsid w:val="008334C0"/>
    <w:rsid w:val="00837CFF"/>
    <w:rsid w:val="008438FA"/>
    <w:rsid w:val="008462C6"/>
    <w:rsid w:val="008477B2"/>
    <w:rsid w:val="00850351"/>
    <w:rsid w:val="00856C89"/>
    <w:rsid w:val="0088067D"/>
    <w:rsid w:val="00881033"/>
    <w:rsid w:val="00884A47"/>
    <w:rsid w:val="00885C13"/>
    <w:rsid w:val="00887218"/>
    <w:rsid w:val="0089502D"/>
    <w:rsid w:val="00896279"/>
    <w:rsid w:val="00897C9C"/>
    <w:rsid w:val="008A5FED"/>
    <w:rsid w:val="008B176C"/>
    <w:rsid w:val="008B58D2"/>
    <w:rsid w:val="008B729D"/>
    <w:rsid w:val="008B73F2"/>
    <w:rsid w:val="008C05EB"/>
    <w:rsid w:val="008D2761"/>
    <w:rsid w:val="008D388F"/>
    <w:rsid w:val="008E28F3"/>
    <w:rsid w:val="008F7888"/>
    <w:rsid w:val="0090171D"/>
    <w:rsid w:val="00904FC6"/>
    <w:rsid w:val="0090721E"/>
    <w:rsid w:val="009079B0"/>
    <w:rsid w:val="00911CC2"/>
    <w:rsid w:val="009127FA"/>
    <w:rsid w:val="00920BA8"/>
    <w:rsid w:val="00921C3D"/>
    <w:rsid w:val="0092336C"/>
    <w:rsid w:val="00923791"/>
    <w:rsid w:val="00930190"/>
    <w:rsid w:val="009307D8"/>
    <w:rsid w:val="00932910"/>
    <w:rsid w:val="0095648E"/>
    <w:rsid w:val="0097159C"/>
    <w:rsid w:val="00977CA6"/>
    <w:rsid w:val="009810E3"/>
    <w:rsid w:val="00983F3A"/>
    <w:rsid w:val="0098496A"/>
    <w:rsid w:val="00987030"/>
    <w:rsid w:val="009871EC"/>
    <w:rsid w:val="00994464"/>
    <w:rsid w:val="00995F90"/>
    <w:rsid w:val="0099744F"/>
    <w:rsid w:val="009A0F9D"/>
    <w:rsid w:val="009A1E22"/>
    <w:rsid w:val="009A57C6"/>
    <w:rsid w:val="009A607B"/>
    <w:rsid w:val="009B353D"/>
    <w:rsid w:val="009B4447"/>
    <w:rsid w:val="009C4966"/>
    <w:rsid w:val="009D1FB7"/>
    <w:rsid w:val="009E1F96"/>
    <w:rsid w:val="009E54A3"/>
    <w:rsid w:val="009E6C65"/>
    <w:rsid w:val="009F2FF8"/>
    <w:rsid w:val="009F3F43"/>
    <w:rsid w:val="009F456B"/>
    <w:rsid w:val="009F6B00"/>
    <w:rsid w:val="00A02776"/>
    <w:rsid w:val="00A078F1"/>
    <w:rsid w:val="00A13593"/>
    <w:rsid w:val="00A1685B"/>
    <w:rsid w:val="00A17A10"/>
    <w:rsid w:val="00A22570"/>
    <w:rsid w:val="00A22DEC"/>
    <w:rsid w:val="00A231F0"/>
    <w:rsid w:val="00A241DB"/>
    <w:rsid w:val="00A37530"/>
    <w:rsid w:val="00A427F0"/>
    <w:rsid w:val="00A52FDC"/>
    <w:rsid w:val="00A633DE"/>
    <w:rsid w:val="00A72055"/>
    <w:rsid w:val="00A75ABC"/>
    <w:rsid w:val="00A802F3"/>
    <w:rsid w:val="00A82DFF"/>
    <w:rsid w:val="00A90B15"/>
    <w:rsid w:val="00AA6A43"/>
    <w:rsid w:val="00AB02AE"/>
    <w:rsid w:val="00AB6111"/>
    <w:rsid w:val="00AB703D"/>
    <w:rsid w:val="00AC52B4"/>
    <w:rsid w:val="00AD3F6D"/>
    <w:rsid w:val="00AD4050"/>
    <w:rsid w:val="00AD6C1C"/>
    <w:rsid w:val="00AD79D3"/>
    <w:rsid w:val="00AE0914"/>
    <w:rsid w:val="00AE4CAE"/>
    <w:rsid w:val="00AE4DBD"/>
    <w:rsid w:val="00AF5CF1"/>
    <w:rsid w:val="00AF7976"/>
    <w:rsid w:val="00B02A6F"/>
    <w:rsid w:val="00B06D20"/>
    <w:rsid w:val="00B07610"/>
    <w:rsid w:val="00B10048"/>
    <w:rsid w:val="00B13D5F"/>
    <w:rsid w:val="00B15FBC"/>
    <w:rsid w:val="00B171CD"/>
    <w:rsid w:val="00B2331F"/>
    <w:rsid w:val="00B2618E"/>
    <w:rsid w:val="00B27829"/>
    <w:rsid w:val="00B32E71"/>
    <w:rsid w:val="00B42B6B"/>
    <w:rsid w:val="00B43950"/>
    <w:rsid w:val="00B46DBD"/>
    <w:rsid w:val="00B53803"/>
    <w:rsid w:val="00B57866"/>
    <w:rsid w:val="00B665AA"/>
    <w:rsid w:val="00B70BD9"/>
    <w:rsid w:val="00B737F2"/>
    <w:rsid w:val="00B74EF7"/>
    <w:rsid w:val="00B76865"/>
    <w:rsid w:val="00B91D1A"/>
    <w:rsid w:val="00BB30F9"/>
    <w:rsid w:val="00BB5349"/>
    <w:rsid w:val="00BC1F74"/>
    <w:rsid w:val="00BC3BE4"/>
    <w:rsid w:val="00BC740F"/>
    <w:rsid w:val="00BD2925"/>
    <w:rsid w:val="00BD4F78"/>
    <w:rsid w:val="00BD53FA"/>
    <w:rsid w:val="00BD6097"/>
    <w:rsid w:val="00BD77D7"/>
    <w:rsid w:val="00BE2317"/>
    <w:rsid w:val="00BE5193"/>
    <w:rsid w:val="00BF01EF"/>
    <w:rsid w:val="00BF1972"/>
    <w:rsid w:val="00BF2B33"/>
    <w:rsid w:val="00BF5116"/>
    <w:rsid w:val="00BF69E0"/>
    <w:rsid w:val="00C070D9"/>
    <w:rsid w:val="00C13722"/>
    <w:rsid w:val="00C16729"/>
    <w:rsid w:val="00C16B14"/>
    <w:rsid w:val="00C21D6A"/>
    <w:rsid w:val="00C23D9E"/>
    <w:rsid w:val="00C24C1D"/>
    <w:rsid w:val="00C3664C"/>
    <w:rsid w:val="00C41FE3"/>
    <w:rsid w:val="00C428FA"/>
    <w:rsid w:val="00C4703A"/>
    <w:rsid w:val="00C56F63"/>
    <w:rsid w:val="00C66F59"/>
    <w:rsid w:val="00C6794A"/>
    <w:rsid w:val="00C7390D"/>
    <w:rsid w:val="00C77C45"/>
    <w:rsid w:val="00C82A83"/>
    <w:rsid w:val="00C8343C"/>
    <w:rsid w:val="00C84F9B"/>
    <w:rsid w:val="00C90AE8"/>
    <w:rsid w:val="00C93940"/>
    <w:rsid w:val="00C94545"/>
    <w:rsid w:val="00C97FE0"/>
    <w:rsid w:val="00CA086C"/>
    <w:rsid w:val="00CA2F1B"/>
    <w:rsid w:val="00CB1C38"/>
    <w:rsid w:val="00CB1E3F"/>
    <w:rsid w:val="00CC0A4A"/>
    <w:rsid w:val="00CD11B3"/>
    <w:rsid w:val="00CE5378"/>
    <w:rsid w:val="00CF3944"/>
    <w:rsid w:val="00CF472A"/>
    <w:rsid w:val="00D0122D"/>
    <w:rsid w:val="00D14A7C"/>
    <w:rsid w:val="00D15AF3"/>
    <w:rsid w:val="00D15CD0"/>
    <w:rsid w:val="00D15F18"/>
    <w:rsid w:val="00D21E9D"/>
    <w:rsid w:val="00D25679"/>
    <w:rsid w:val="00D26DC1"/>
    <w:rsid w:val="00D30DD7"/>
    <w:rsid w:val="00D33806"/>
    <w:rsid w:val="00D63BE7"/>
    <w:rsid w:val="00D72A59"/>
    <w:rsid w:val="00D73E69"/>
    <w:rsid w:val="00D752EC"/>
    <w:rsid w:val="00D76832"/>
    <w:rsid w:val="00D84898"/>
    <w:rsid w:val="00D84B62"/>
    <w:rsid w:val="00D9236B"/>
    <w:rsid w:val="00D94F77"/>
    <w:rsid w:val="00DB4C84"/>
    <w:rsid w:val="00DC1136"/>
    <w:rsid w:val="00DE3D00"/>
    <w:rsid w:val="00DE4172"/>
    <w:rsid w:val="00DE5CFE"/>
    <w:rsid w:val="00DF2762"/>
    <w:rsid w:val="00DF4C36"/>
    <w:rsid w:val="00DF67D6"/>
    <w:rsid w:val="00DF7F21"/>
    <w:rsid w:val="00E027DC"/>
    <w:rsid w:val="00E04077"/>
    <w:rsid w:val="00E04F21"/>
    <w:rsid w:val="00E05562"/>
    <w:rsid w:val="00E07FAB"/>
    <w:rsid w:val="00E10859"/>
    <w:rsid w:val="00E10BCF"/>
    <w:rsid w:val="00E13B2F"/>
    <w:rsid w:val="00E13C5D"/>
    <w:rsid w:val="00E20A85"/>
    <w:rsid w:val="00E27127"/>
    <w:rsid w:val="00E3460A"/>
    <w:rsid w:val="00E45086"/>
    <w:rsid w:val="00E47EAA"/>
    <w:rsid w:val="00E70D73"/>
    <w:rsid w:val="00E724A1"/>
    <w:rsid w:val="00E73BC3"/>
    <w:rsid w:val="00E76F8D"/>
    <w:rsid w:val="00E804FF"/>
    <w:rsid w:val="00E83484"/>
    <w:rsid w:val="00E9185E"/>
    <w:rsid w:val="00EA152D"/>
    <w:rsid w:val="00EA19E6"/>
    <w:rsid w:val="00EA46CA"/>
    <w:rsid w:val="00EA5306"/>
    <w:rsid w:val="00EC01AA"/>
    <w:rsid w:val="00EC17F5"/>
    <w:rsid w:val="00EC2FED"/>
    <w:rsid w:val="00ED0EC6"/>
    <w:rsid w:val="00EE356F"/>
    <w:rsid w:val="00EF0561"/>
    <w:rsid w:val="00EF0E7E"/>
    <w:rsid w:val="00EF42E8"/>
    <w:rsid w:val="00EF6FE9"/>
    <w:rsid w:val="00F04CDB"/>
    <w:rsid w:val="00F07315"/>
    <w:rsid w:val="00F10EDC"/>
    <w:rsid w:val="00F120B8"/>
    <w:rsid w:val="00F22356"/>
    <w:rsid w:val="00F263EC"/>
    <w:rsid w:val="00F2670C"/>
    <w:rsid w:val="00F32674"/>
    <w:rsid w:val="00F33D2D"/>
    <w:rsid w:val="00F41459"/>
    <w:rsid w:val="00F52DED"/>
    <w:rsid w:val="00F57466"/>
    <w:rsid w:val="00F57E80"/>
    <w:rsid w:val="00F64F72"/>
    <w:rsid w:val="00F651CC"/>
    <w:rsid w:val="00F67EFA"/>
    <w:rsid w:val="00F7690A"/>
    <w:rsid w:val="00F81031"/>
    <w:rsid w:val="00F81942"/>
    <w:rsid w:val="00F851DA"/>
    <w:rsid w:val="00F85858"/>
    <w:rsid w:val="00F92B80"/>
    <w:rsid w:val="00F93C1C"/>
    <w:rsid w:val="00FA31ED"/>
    <w:rsid w:val="00FA430F"/>
    <w:rsid w:val="00FB0C0F"/>
    <w:rsid w:val="00FB49B1"/>
    <w:rsid w:val="00FB507C"/>
    <w:rsid w:val="00FC0587"/>
    <w:rsid w:val="00FC0DB8"/>
    <w:rsid w:val="00FC1567"/>
    <w:rsid w:val="00FC5ECE"/>
    <w:rsid w:val="00FE565B"/>
    <w:rsid w:val="00FE6DB5"/>
    <w:rsid w:val="00FF291F"/>
    <w:rsid w:val="00FF4EBE"/>
    <w:rsid w:val="00FF61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4DE46C45"/>
  <w15:chartTrackingRefBased/>
  <w15:docId w15:val="{DE86A455-76C5-4810-983B-32DD53BA2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F21"/>
    <w:pPr>
      <w:spacing w:after="120" w:line="300" w:lineRule="auto"/>
    </w:pPr>
    <w:rPr>
      <w:rFonts w:ascii="Arial" w:hAnsi="Arial"/>
      <w:sz w:val="20"/>
    </w:rPr>
  </w:style>
  <w:style w:type="paragraph" w:styleId="Heading1">
    <w:name w:val="heading 1"/>
    <w:basedOn w:val="Normal"/>
    <w:next w:val="Normal"/>
    <w:link w:val="Heading1Char"/>
    <w:uiPriority w:val="9"/>
    <w:qFormat/>
    <w:rsid w:val="005C2356"/>
    <w:pPr>
      <w:keepNext/>
      <w:keepLines/>
      <w:spacing w:after="0"/>
      <w:outlineLvl w:val="0"/>
    </w:pPr>
    <w:rPr>
      <w:rFonts w:eastAsiaTheme="majorEastAsia" w:cstheme="majorBidi"/>
      <w:color w:val="00283E"/>
      <w:sz w:val="52"/>
      <w:szCs w:val="32"/>
    </w:rPr>
  </w:style>
  <w:style w:type="paragraph" w:styleId="Heading2">
    <w:name w:val="heading 2"/>
    <w:basedOn w:val="Normal"/>
    <w:next w:val="Normal"/>
    <w:link w:val="Heading2Char"/>
    <w:uiPriority w:val="9"/>
    <w:unhideWhenUsed/>
    <w:qFormat/>
    <w:rsid w:val="00E04F21"/>
    <w:pPr>
      <w:keepNext/>
      <w:keepLines/>
      <w:spacing w:before="40"/>
      <w:outlineLvl w:val="1"/>
    </w:pPr>
    <w:rPr>
      <w:rFonts w:eastAsiaTheme="majorEastAsia" w:cstheme="majorBidi"/>
      <w:b/>
      <w:color w:val="00283E"/>
      <w:sz w:val="44"/>
      <w:szCs w:val="26"/>
    </w:rPr>
  </w:style>
  <w:style w:type="paragraph" w:styleId="Heading3">
    <w:name w:val="heading 3"/>
    <w:basedOn w:val="Normal"/>
    <w:next w:val="Normal"/>
    <w:link w:val="Heading3Char"/>
    <w:uiPriority w:val="9"/>
    <w:unhideWhenUsed/>
    <w:qFormat/>
    <w:rsid w:val="009A0F9D"/>
    <w:pPr>
      <w:keepNext/>
      <w:keepLines/>
      <w:spacing w:before="40"/>
      <w:outlineLvl w:val="2"/>
    </w:pPr>
    <w:rPr>
      <w:rFonts w:eastAsiaTheme="majorEastAsia" w:cstheme="majorBidi"/>
      <w:color w:val="00283E"/>
      <w:sz w:val="36"/>
      <w:szCs w:val="24"/>
    </w:rPr>
  </w:style>
  <w:style w:type="paragraph" w:styleId="Heading4">
    <w:name w:val="heading 4"/>
    <w:basedOn w:val="Normal"/>
    <w:next w:val="Normal"/>
    <w:link w:val="Heading4Char"/>
    <w:uiPriority w:val="9"/>
    <w:unhideWhenUsed/>
    <w:qFormat/>
    <w:rsid w:val="001768A9"/>
    <w:pPr>
      <w:keepNext/>
      <w:keepLines/>
      <w:spacing w:before="40" w:after="0"/>
      <w:outlineLvl w:val="3"/>
    </w:pPr>
    <w:rPr>
      <w:rFonts w:eastAsiaTheme="majorEastAsia" w:cstheme="majorBidi"/>
      <w:iCs/>
      <w:color w:val="00283E"/>
      <w:sz w:val="28"/>
    </w:rPr>
  </w:style>
  <w:style w:type="paragraph" w:styleId="Heading5">
    <w:name w:val="heading 5"/>
    <w:basedOn w:val="Normal"/>
    <w:next w:val="Normal"/>
    <w:link w:val="Heading5Char"/>
    <w:uiPriority w:val="9"/>
    <w:unhideWhenUsed/>
    <w:qFormat/>
    <w:rsid w:val="001768A9"/>
    <w:pPr>
      <w:keepNext/>
      <w:keepLines/>
      <w:spacing w:before="40" w:after="0"/>
      <w:outlineLvl w:val="4"/>
    </w:pPr>
    <w:rPr>
      <w:rFonts w:eastAsiaTheme="majorEastAsia" w:cstheme="majorBidi"/>
      <w:b/>
      <w:color w:val="00283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0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0FE"/>
  </w:style>
  <w:style w:type="paragraph" w:styleId="Footer">
    <w:name w:val="footer"/>
    <w:basedOn w:val="Normal"/>
    <w:link w:val="FooterChar"/>
    <w:uiPriority w:val="99"/>
    <w:unhideWhenUsed/>
    <w:rsid w:val="005C2356"/>
    <w:pPr>
      <w:tabs>
        <w:tab w:val="center" w:pos="4513"/>
        <w:tab w:val="right" w:pos="9026"/>
      </w:tabs>
      <w:spacing w:after="0" w:line="240" w:lineRule="auto"/>
    </w:pPr>
    <w:rPr>
      <w:color w:val="58595B" w:themeColor="text2"/>
      <w:sz w:val="18"/>
    </w:rPr>
  </w:style>
  <w:style w:type="character" w:customStyle="1" w:styleId="FooterChar">
    <w:name w:val="Footer Char"/>
    <w:basedOn w:val="DefaultParagraphFont"/>
    <w:link w:val="Footer"/>
    <w:uiPriority w:val="99"/>
    <w:rsid w:val="005C2356"/>
    <w:rPr>
      <w:rFonts w:ascii="Arial" w:hAnsi="Arial"/>
      <w:color w:val="58595B" w:themeColor="text2"/>
      <w:sz w:val="18"/>
    </w:rPr>
  </w:style>
  <w:style w:type="paragraph" w:styleId="Title">
    <w:name w:val="Title"/>
    <w:basedOn w:val="Normal"/>
    <w:next w:val="Normal"/>
    <w:link w:val="TitleChar"/>
    <w:uiPriority w:val="10"/>
    <w:qFormat/>
    <w:rsid w:val="001768A9"/>
    <w:pPr>
      <w:spacing w:after="0" w:line="240" w:lineRule="auto"/>
      <w:contextualSpacing/>
    </w:pPr>
    <w:rPr>
      <w:rFonts w:eastAsiaTheme="majorEastAsia" w:cstheme="majorBidi"/>
      <w:color w:val="005677"/>
      <w:spacing w:val="-10"/>
      <w:kern w:val="28"/>
      <w:sz w:val="72"/>
      <w:szCs w:val="56"/>
    </w:rPr>
  </w:style>
  <w:style w:type="character" w:customStyle="1" w:styleId="TitleChar">
    <w:name w:val="Title Char"/>
    <w:basedOn w:val="DefaultParagraphFont"/>
    <w:link w:val="Title"/>
    <w:uiPriority w:val="10"/>
    <w:rsid w:val="001768A9"/>
    <w:rPr>
      <w:rFonts w:ascii="Arial" w:eastAsiaTheme="majorEastAsia" w:hAnsi="Arial" w:cstheme="majorBidi"/>
      <w:color w:val="005677"/>
      <w:spacing w:val="-10"/>
      <w:kern w:val="28"/>
      <w:sz w:val="72"/>
      <w:szCs w:val="56"/>
    </w:rPr>
  </w:style>
  <w:style w:type="character" w:customStyle="1" w:styleId="Heading1Char">
    <w:name w:val="Heading 1 Char"/>
    <w:basedOn w:val="DefaultParagraphFont"/>
    <w:link w:val="Heading1"/>
    <w:uiPriority w:val="9"/>
    <w:rsid w:val="005C2356"/>
    <w:rPr>
      <w:rFonts w:ascii="Arial" w:eastAsiaTheme="majorEastAsia" w:hAnsi="Arial" w:cstheme="majorBidi"/>
      <w:color w:val="00283E"/>
      <w:sz w:val="52"/>
      <w:szCs w:val="32"/>
    </w:rPr>
  </w:style>
  <w:style w:type="character" w:customStyle="1" w:styleId="Heading2Char">
    <w:name w:val="Heading 2 Char"/>
    <w:basedOn w:val="DefaultParagraphFont"/>
    <w:link w:val="Heading2"/>
    <w:uiPriority w:val="9"/>
    <w:rsid w:val="00E04F21"/>
    <w:rPr>
      <w:rFonts w:ascii="Arial" w:eastAsiaTheme="majorEastAsia" w:hAnsi="Arial" w:cstheme="majorBidi"/>
      <w:b/>
      <w:color w:val="00283E"/>
      <w:sz w:val="44"/>
      <w:szCs w:val="26"/>
    </w:rPr>
  </w:style>
  <w:style w:type="character" w:customStyle="1" w:styleId="Heading3Char">
    <w:name w:val="Heading 3 Char"/>
    <w:basedOn w:val="DefaultParagraphFont"/>
    <w:link w:val="Heading3"/>
    <w:uiPriority w:val="9"/>
    <w:rsid w:val="009A0F9D"/>
    <w:rPr>
      <w:rFonts w:ascii="Arial" w:eastAsiaTheme="majorEastAsia" w:hAnsi="Arial" w:cstheme="majorBidi"/>
      <w:color w:val="00283E"/>
      <w:sz w:val="36"/>
      <w:szCs w:val="24"/>
    </w:rPr>
  </w:style>
  <w:style w:type="character" w:customStyle="1" w:styleId="Heading4Char">
    <w:name w:val="Heading 4 Char"/>
    <w:basedOn w:val="DefaultParagraphFont"/>
    <w:link w:val="Heading4"/>
    <w:uiPriority w:val="9"/>
    <w:rsid w:val="001768A9"/>
    <w:rPr>
      <w:rFonts w:ascii="Arial" w:eastAsiaTheme="majorEastAsia" w:hAnsi="Arial" w:cstheme="majorBidi"/>
      <w:iCs/>
      <w:color w:val="00283E"/>
      <w:sz w:val="28"/>
    </w:rPr>
  </w:style>
  <w:style w:type="character" w:customStyle="1" w:styleId="Heading5Char">
    <w:name w:val="Heading 5 Char"/>
    <w:basedOn w:val="DefaultParagraphFont"/>
    <w:link w:val="Heading5"/>
    <w:uiPriority w:val="9"/>
    <w:rsid w:val="001768A9"/>
    <w:rPr>
      <w:rFonts w:ascii="Arial" w:eastAsiaTheme="majorEastAsia" w:hAnsi="Arial" w:cstheme="majorBidi"/>
      <w:b/>
      <w:color w:val="00283E"/>
    </w:rPr>
  </w:style>
  <w:style w:type="paragraph" w:styleId="ListParagraph">
    <w:name w:val="List Paragraph"/>
    <w:aliases w:val="L,List Paragraph1,List Paragraph11,NFP GP Bulleted List,FooterText,numbered,Paragraphe de liste1,Bulletr List Paragraph,列出段落,列出段落1,List Paragraph2,List Paragraph21,Listeafsnit1,Parágrafo da Lista1,Párrafo de lista1,リスト段落1,Recommendation"/>
    <w:basedOn w:val="Normal"/>
    <w:link w:val="ListParagraphChar"/>
    <w:uiPriority w:val="34"/>
    <w:qFormat/>
    <w:rsid w:val="00527E00"/>
    <w:pPr>
      <w:contextualSpacing/>
    </w:pPr>
  </w:style>
  <w:style w:type="paragraph" w:styleId="ListBullet">
    <w:name w:val="List Bullet"/>
    <w:basedOn w:val="ListParagraph"/>
    <w:uiPriority w:val="99"/>
    <w:unhideWhenUsed/>
    <w:rsid w:val="00DE3D00"/>
    <w:pPr>
      <w:numPr>
        <w:numId w:val="2"/>
      </w:numPr>
    </w:pPr>
  </w:style>
  <w:style w:type="paragraph" w:styleId="ListBullet2">
    <w:name w:val="List Bullet 2"/>
    <w:basedOn w:val="Normal"/>
    <w:uiPriority w:val="99"/>
    <w:unhideWhenUsed/>
    <w:rsid w:val="00040232"/>
    <w:pPr>
      <w:numPr>
        <w:numId w:val="1"/>
      </w:numPr>
      <w:spacing w:before="120"/>
      <w:ind w:left="641" w:hanging="357"/>
      <w:contextualSpacing/>
    </w:pPr>
  </w:style>
  <w:style w:type="paragraph" w:styleId="ListNumber">
    <w:name w:val="List Number"/>
    <w:basedOn w:val="ListParagraph"/>
    <w:uiPriority w:val="99"/>
    <w:unhideWhenUsed/>
    <w:rsid w:val="00DE3D00"/>
    <w:pPr>
      <w:numPr>
        <w:numId w:val="3"/>
      </w:numPr>
    </w:pPr>
  </w:style>
  <w:style w:type="paragraph" w:styleId="Quote">
    <w:name w:val="Quote"/>
    <w:basedOn w:val="Normal"/>
    <w:next w:val="Normal"/>
    <w:link w:val="QuoteChar"/>
    <w:uiPriority w:val="29"/>
    <w:qFormat/>
    <w:rsid w:val="00AE4CAE"/>
    <w:pPr>
      <w:pBdr>
        <w:top w:val="single" w:sz="4" w:space="1" w:color="58595B" w:themeColor="text2"/>
        <w:bottom w:val="single" w:sz="4" w:space="1" w:color="58595B" w:themeColor="text2"/>
      </w:pBdr>
      <w:spacing w:before="360" w:after="360" w:line="360" w:lineRule="auto"/>
      <w:ind w:left="862" w:right="862"/>
      <w:jc w:val="center"/>
    </w:pPr>
    <w:rPr>
      <w:i/>
      <w:iCs/>
      <w:color w:val="404040" w:themeColor="text1" w:themeTint="BF"/>
    </w:rPr>
  </w:style>
  <w:style w:type="character" w:customStyle="1" w:styleId="QuoteChar">
    <w:name w:val="Quote Char"/>
    <w:basedOn w:val="DefaultParagraphFont"/>
    <w:link w:val="Quote"/>
    <w:uiPriority w:val="29"/>
    <w:rsid w:val="00AE4CAE"/>
    <w:rPr>
      <w:rFonts w:ascii="Arial" w:hAnsi="Arial"/>
      <w:i/>
      <w:iCs/>
      <w:color w:val="404040" w:themeColor="text1" w:themeTint="BF"/>
    </w:rPr>
  </w:style>
  <w:style w:type="character" w:styleId="Hyperlink">
    <w:name w:val="Hyperlink"/>
    <w:basedOn w:val="DefaultParagraphFont"/>
    <w:uiPriority w:val="99"/>
    <w:unhideWhenUsed/>
    <w:rsid w:val="005C2356"/>
    <w:rPr>
      <w:color w:val="0070AE" w:themeColor="accent2" w:themeTint="BF"/>
      <w:u w:val="single"/>
    </w:rPr>
  </w:style>
  <w:style w:type="table" w:styleId="TableGrid">
    <w:name w:val="Table Grid"/>
    <w:basedOn w:val="TableNormal"/>
    <w:uiPriority w:val="39"/>
    <w:rsid w:val="005C2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654790"/>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5Dark-Accent5">
    <w:name w:val="Grid Table 5 Dark Accent 5"/>
    <w:basedOn w:val="TableNormal"/>
    <w:uiPriority w:val="50"/>
    <w:rsid w:val="0065479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7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D9E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D9E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D9E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D9E0" w:themeFill="accent5"/>
      </w:tcPr>
    </w:tblStylePr>
    <w:tblStylePr w:type="band1Vert">
      <w:tblPr/>
      <w:tcPr>
        <w:shd w:val="clear" w:color="auto" w:fill="D7EFF2" w:themeFill="accent5" w:themeFillTint="66"/>
      </w:tcPr>
    </w:tblStylePr>
    <w:tblStylePr w:type="band1Horz">
      <w:tblPr/>
      <w:tcPr>
        <w:shd w:val="clear" w:color="auto" w:fill="D7EFF2" w:themeFill="accent5" w:themeFillTint="66"/>
      </w:tcPr>
    </w:tblStylePr>
  </w:style>
  <w:style w:type="table" w:styleId="GridTable5Dark-Accent1">
    <w:name w:val="Grid Table 5 Dark Accent 1"/>
    <w:basedOn w:val="TableNormal"/>
    <w:uiPriority w:val="50"/>
    <w:rsid w:val="00B07610"/>
    <w:pPr>
      <w:spacing w:after="0" w:line="240" w:lineRule="auto"/>
    </w:pPr>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0E9FF" w:themeFill="accent1" w:themeFillTint="33"/>
    </w:tcPr>
    <w:tblStylePr w:type="firstRow">
      <w:pPr>
        <w:wordWrap/>
        <w:spacing w:beforeLines="0" w:before="120" w:beforeAutospacing="0" w:afterLines="0" w:after="120" w:afterAutospacing="0"/>
        <w:jc w:val="center"/>
      </w:pPr>
      <w:rPr>
        <w:rFonts w:ascii="Arial" w:hAnsi="Arial"/>
        <w:b w:val="0"/>
        <w:bCs/>
        <w:color w:val="FFFFFF" w:themeColor="background1"/>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677"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677" w:themeFill="accent1"/>
      </w:tcPr>
    </w:tblStylePr>
    <w:tblStylePr w:type="firstCol">
      <w:pPr>
        <w:jc w:val="left"/>
      </w:pPr>
      <w:rPr>
        <w:rFonts w:ascii="Arial" w:hAnsi="Arial"/>
        <w:b w:val="0"/>
        <w:bCs/>
        <w:color w:val="FFFFFF" w:themeColor="background1"/>
        <w:sz w:val="22"/>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677" w:themeFill="accent1"/>
        <w:vAlign w:val="center"/>
      </w:tcPr>
    </w:tblStylePr>
    <w:tblStylePr w:type="lastCol">
      <w:pPr>
        <w:wordWrap/>
        <w:jc w:val="center"/>
      </w:pPr>
      <w:rPr>
        <w:rFonts w:ascii="Arial" w:hAnsi="Arial"/>
        <w:b w:val="0"/>
        <w:bCs/>
        <w:color w:val="FFFFFF" w:themeColor="background1"/>
        <w:sz w:val="22"/>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677" w:themeFill="accent1"/>
        <w:vAlign w:val="center"/>
      </w:tcPr>
    </w:tblStylePr>
    <w:tblStylePr w:type="band1Vert">
      <w:tblPr/>
      <w:tcPr>
        <w:shd w:val="clear" w:color="auto" w:fill="62D3FF" w:themeFill="accent1" w:themeFillTint="66"/>
      </w:tcPr>
    </w:tblStylePr>
    <w:tblStylePr w:type="band1Horz">
      <w:pPr>
        <w:jc w:val="center"/>
      </w:pPr>
      <w:tblPr/>
      <w:tcPr>
        <w:shd w:val="clear" w:color="auto" w:fill="62D3FF" w:themeFill="accent1" w:themeFillTint="66"/>
        <w:vAlign w:val="center"/>
      </w:tcPr>
    </w:tblStylePr>
    <w:tblStylePr w:type="band2Horz">
      <w:pPr>
        <w:jc w:val="center"/>
      </w:pPr>
      <w:tblPr/>
      <w:tcPr>
        <w:vAlign w:val="center"/>
      </w:tcPr>
    </w:tblStylePr>
  </w:style>
  <w:style w:type="paragraph" w:styleId="Caption">
    <w:name w:val="caption"/>
    <w:basedOn w:val="Normal"/>
    <w:next w:val="Normal"/>
    <w:uiPriority w:val="35"/>
    <w:unhideWhenUsed/>
    <w:qFormat/>
    <w:rsid w:val="00AE4CAE"/>
    <w:pPr>
      <w:keepNext/>
      <w:spacing w:after="200" w:line="240" w:lineRule="auto"/>
    </w:pPr>
    <w:rPr>
      <w:i/>
      <w:iCs/>
      <w:color w:val="2C2C2D" w:themeColor="text2" w:themeShade="80"/>
      <w:szCs w:val="18"/>
    </w:rPr>
  </w:style>
  <w:style w:type="character" w:styleId="Emphasis">
    <w:name w:val="Emphasis"/>
    <w:basedOn w:val="DefaultParagraphFont"/>
    <w:uiPriority w:val="20"/>
    <w:qFormat/>
    <w:rsid w:val="00DE3D00"/>
    <w:rPr>
      <w:i/>
      <w:iCs/>
    </w:rPr>
  </w:style>
  <w:style w:type="character" w:styleId="Strong">
    <w:name w:val="Strong"/>
    <w:basedOn w:val="DefaultParagraphFont"/>
    <w:uiPriority w:val="22"/>
    <w:qFormat/>
    <w:rsid w:val="00DE3D00"/>
    <w:rPr>
      <w:b/>
      <w:bCs/>
    </w:rPr>
  </w:style>
  <w:style w:type="character" w:styleId="CommentReference">
    <w:name w:val="annotation reference"/>
    <w:basedOn w:val="DefaultParagraphFont"/>
    <w:uiPriority w:val="99"/>
    <w:semiHidden/>
    <w:unhideWhenUsed/>
    <w:rsid w:val="0098496A"/>
    <w:rPr>
      <w:sz w:val="16"/>
      <w:szCs w:val="16"/>
    </w:rPr>
  </w:style>
  <w:style w:type="paragraph" w:styleId="CommentText">
    <w:name w:val="annotation text"/>
    <w:basedOn w:val="Normal"/>
    <w:link w:val="CommentTextChar"/>
    <w:uiPriority w:val="99"/>
    <w:semiHidden/>
    <w:unhideWhenUsed/>
    <w:rsid w:val="0098496A"/>
    <w:pPr>
      <w:spacing w:line="240" w:lineRule="auto"/>
    </w:pPr>
    <w:rPr>
      <w:szCs w:val="20"/>
    </w:rPr>
  </w:style>
  <w:style w:type="character" w:customStyle="1" w:styleId="CommentTextChar">
    <w:name w:val="Comment Text Char"/>
    <w:basedOn w:val="DefaultParagraphFont"/>
    <w:link w:val="CommentText"/>
    <w:uiPriority w:val="99"/>
    <w:semiHidden/>
    <w:rsid w:val="0098496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8496A"/>
    <w:rPr>
      <w:b/>
      <w:bCs/>
    </w:rPr>
  </w:style>
  <w:style w:type="character" w:customStyle="1" w:styleId="CommentSubjectChar">
    <w:name w:val="Comment Subject Char"/>
    <w:basedOn w:val="CommentTextChar"/>
    <w:link w:val="CommentSubject"/>
    <w:uiPriority w:val="99"/>
    <w:semiHidden/>
    <w:rsid w:val="0098496A"/>
    <w:rPr>
      <w:rFonts w:ascii="Arial" w:hAnsi="Arial"/>
      <w:b/>
      <w:bCs/>
      <w:sz w:val="20"/>
      <w:szCs w:val="20"/>
    </w:rPr>
  </w:style>
  <w:style w:type="paragraph" w:styleId="BalloonText">
    <w:name w:val="Balloon Text"/>
    <w:basedOn w:val="Normal"/>
    <w:link w:val="BalloonTextChar"/>
    <w:uiPriority w:val="99"/>
    <w:semiHidden/>
    <w:unhideWhenUsed/>
    <w:rsid w:val="00984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96A"/>
    <w:rPr>
      <w:rFonts w:ascii="Segoe UI" w:hAnsi="Segoe UI" w:cs="Segoe UI"/>
      <w:sz w:val="18"/>
      <w:szCs w:val="18"/>
    </w:rPr>
  </w:style>
  <w:style w:type="paragraph" w:customStyle="1" w:styleId="Pa6">
    <w:name w:val="Pa6"/>
    <w:basedOn w:val="Normal"/>
    <w:next w:val="Normal"/>
    <w:uiPriority w:val="99"/>
    <w:rsid w:val="00354A3B"/>
    <w:pPr>
      <w:autoSpaceDE w:val="0"/>
      <w:autoSpaceDN w:val="0"/>
      <w:adjustRightInd w:val="0"/>
      <w:spacing w:after="0" w:line="240" w:lineRule="atLeast"/>
    </w:pPr>
    <w:rPr>
      <w:rFonts w:cs="Arial"/>
      <w:sz w:val="24"/>
      <w:szCs w:val="24"/>
    </w:rPr>
  </w:style>
  <w:style w:type="character" w:customStyle="1" w:styleId="A2">
    <w:name w:val="A2"/>
    <w:uiPriority w:val="99"/>
    <w:rsid w:val="00354A3B"/>
    <w:rPr>
      <w:color w:val="000000"/>
      <w:sz w:val="17"/>
      <w:szCs w:val="17"/>
    </w:rPr>
  </w:style>
  <w:style w:type="paragraph" w:styleId="Revision">
    <w:name w:val="Revision"/>
    <w:hidden/>
    <w:uiPriority w:val="99"/>
    <w:semiHidden/>
    <w:rsid w:val="00C6794A"/>
    <w:pPr>
      <w:spacing w:after="0" w:line="240" w:lineRule="auto"/>
    </w:pPr>
    <w:rPr>
      <w:rFonts w:ascii="Arial" w:hAnsi="Arial"/>
      <w:sz w:val="20"/>
    </w:rPr>
  </w:style>
  <w:style w:type="paragraph" w:styleId="FootnoteText">
    <w:name w:val="footnote text"/>
    <w:basedOn w:val="Normal"/>
    <w:link w:val="FootnoteTextChar"/>
    <w:uiPriority w:val="99"/>
    <w:semiHidden/>
    <w:unhideWhenUsed/>
    <w:rsid w:val="00EC01AA"/>
    <w:pPr>
      <w:spacing w:after="0" w:line="240" w:lineRule="auto"/>
    </w:pPr>
    <w:rPr>
      <w:szCs w:val="20"/>
    </w:rPr>
  </w:style>
  <w:style w:type="character" w:customStyle="1" w:styleId="FootnoteTextChar">
    <w:name w:val="Footnote Text Char"/>
    <w:basedOn w:val="DefaultParagraphFont"/>
    <w:link w:val="FootnoteText"/>
    <w:uiPriority w:val="99"/>
    <w:semiHidden/>
    <w:rsid w:val="00EC01AA"/>
    <w:rPr>
      <w:rFonts w:ascii="Arial" w:hAnsi="Arial"/>
      <w:sz w:val="20"/>
      <w:szCs w:val="20"/>
    </w:rPr>
  </w:style>
  <w:style w:type="character" w:styleId="FootnoteReference">
    <w:name w:val="footnote reference"/>
    <w:basedOn w:val="DefaultParagraphFont"/>
    <w:uiPriority w:val="99"/>
    <w:semiHidden/>
    <w:unhideWhenUsed/>
    <w:rsid w:val="00EC01AA"/>
    <w:rPr>
      <w:vertAlign w:val="superscript"/>
    </w:rPr>
  </w:style>
  <w:style w:type="character" w:styleId="FollowedHyperlink">
    <w:name w:val="FollowedHyperlink"/>
    <w:basedOn w:val="DefaultParagraphFont"/>
    <w:uiPriority w:val="99"/>
    <w:semiHidden/>
    <w:unhideWhenUsed/>
    <w:rsid w:val="00F81031"/>
    <w:rPr>
      <w:color w:val="7030A0" w:themeColor="followedHyperlink"/>
      <w:u w:val="single"/>
    </w:rPr>
  </w:style>
  <w:style w:type="character" w:customStyle="1" w:styleId="ListParagraphChar">
    <w:name w:val="List Paragraph Char"/>
    <w:aliases w:val="L Char,List Paragraph1 Char,List Paragraph11 Char,NFP GP Bulleted List Char,FooterText Char,numbered Char,Paragraphe de liste1 Char,Bulletr List Paragraph Char,列出段落 Char,列出段落1 Char,List Paragraph2 Char,List Paragraph21 Char"/>
    <w:basedOn w:val="DefaultParagraphFont"/>
    <w:link w:val="ListParagraph"/>
    <w:uiPriority w:val="34"/>
    <w:qFormat/>
    <w:locked/>
    <w:rsid w:val="007004E7"/>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57309">
      <w:bodyDiv w:val="1"/>
      <w:marLeft w:val="0"/>
      <w:marRight w:val="0"/>
      <w:marTop w:val="0"/>
      <w:marBottom w:val="0"/>
      <w:divBdr>
        <w:top w:val="none" w:sz="0" w:space="0" w:color="auto"/>
        <w:left w:val="none" w:sz="0" w:space="0" w:color="auto"/>
        <w:bottom w:val="none" w:sz="0" w:space="0" w:color="auto"/>
        <w:right w:val="none" w:sz="0" w:space="0" w:color="auto"/>
      </w:divBdr>
    </w:div>
    <w:div w:id="1612742045">
      <w:bodyDiv w:val="1"/>
      <w:marLeft w:val="0"/>
      <w:marRight w:val="0"/>
      <w:marTop w:val="0"/>
      <w:marBottom w:val="0"/>
      <w:divBdr>
        <w:top w:val="none" w:sz="0" w:space="0" w:color="auto"/>
        <w:left w:val="none" w:sz="0" w:space="0" w:color="auto"/>
        <w:bottom w:val="none" w:sz="0" w:space="0" w:color="auto"/>
        <w:right w:val="none" w:sz="0" w:space="0" w:color="auto"/>
      </w:divBdr>
    </w:div>
    <w:div w:id="1656182380">
      <w:bodyDiv w:val="1"/>
      <w:marLeft w:val="0"/>
      <w:marRight w:val="0"/>
      <w:marTop w:val="0"/>
      <w:marBottom w:val="0"/>
      <w:divBdr>
        <w:top w:val="none" w:sz="0" w:space="0" w:color="auto"/>
        <w:left w:val="none" w:sz="0" w:space="0" w:color="auto"/>
        <w:bottom w:val="none" w:sz="0" w:space="0" w:color="auto"/>
        <w:right w:val="none" w:sz="0" w:space="0" w:color="auto"/>
      </w:divBdr>
    </w:div>
    <w:div w:id="2037146548">
      <w:bodyDiv w:val="1"/>
      <w:marLeft w:val="0"/>
      <w:marRight w:val="0"/>
      <w:marTop w:val="0"/>
      <w:marBottom w:val="0"/>
      <w:divBdr>
        <w:top w:val="none" w:sz="0" w:space="0" w:color="auto"/>
        <w:left w:val="none" w:sz="0" w:space="0" w:color="auto"/>
        <w:bottom w:val="none" w:sz="0" w:space="0" w:color="auto"/>
        <w:right w:val="none" w:sz="0" w:space="0" w:color="auto"/>
      </w:divBdr>
    </w:div>
    <w:div w:id="204224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yperlink" Target="https://ggim.un.org/IGIF/igif.cshtml" TargetMode="External"/><Relationship Id="rId26" Type="http://schemas.openxmlformats.org/officeDocument/2006/relationships/hyperlink" Target="https://data.worldbank.org/indicator/en.atm.co2e.pc" TargetMode="External"/><Relationship Id="rId3" Type="http://schemas.openxmlformats.org/officeDocument/2006/relationships/customXml" Target="../customXml/item3.xml"/><Relationship Id="rId21" Type="http://schemas.openxmlformats.org/officeDocument/2006/relationships/hyperlink" Target="https://www.industry.gov.au/data-and-publications/australias-tech-futur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JPG"/><Relationship Id="rId25" Type="http://schemas.openxmlformats.org/officeDocument/2006/relationships/hyperlink" Target="https://treasury.govt.nz/information-and-services/nz-economy/infrastructure"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pc.gov.au/inquiries/completed/data-acces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tats.govt.nz/topics/population-estimates-and-projections"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abs.gov.au/AUSSTATS/abs@.nsf/allprimarymainfeatures/A2C48F375A18E4C8CA25834C0010B2F7?opendocument"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infrastructureaustralia.gov.au/australian-infrastructure-audit-2019-transpor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industry.gov.au/data-and-publications/australian-civil-space-strategy-2019-2028" TargetMode="External"/><Relationship Id="rId27" Type="http://schemas.openxmlformats.org/officeDocument/2006/relationships/hyperlink" Target="https://www.ipcc.ch/sr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2010%20Templates\Workgroup%20Templates\Departmental\Document.dotx" TargetMode="External"/></Relationships>
</file>

<file path=word/theme/theme1.xml><?xml version="1.0" encoding="utf-8"?>
<a:theme xmlns:a="http://schemas.openxmlformats.org/drawingml/2006/main" name="Office Theme">
  <a:themeElements>
    <a:clrScheme name="Department">
      <a:dk1>
        <a:sysClr val="windowText" lastClr="000000"/>
      </a:dk1>
      <a:lt1>
        <a:sysClr val="window" lastClr="FFFFFF"/>
      </a:lt1>
      <a:dk2>
        <a:srgbClr val="58595B"/>
      </a:dk2>
      <a:lt2>
        <a:srgbClr val="E7E6E6"/>
      </a:lt2>
      <a:accent1>
        <a:srgbClr val="005677"/>
      </a:accent1>
      <a:accent2>
        <a:srgbClr val="00283E"/>
      </a:accent2>
      <a:accent3>
        <a:srgbClr val="1B9590"/>
      </a:accent3>
      <a:accent4>
        <a:srgbClr val="61C6C6"/>
      </a:accent4>
      <a:accent5>
        <a:srgbClr val="9CD9E0"/>
      </a:accent5>
      <a:accent6>
        <a:srgbClr val="C973AF"/>
      </a:accent6>
      <a:hlink>
        <a:srgbClr val="0070C0"/>
      </a:hlink>
      <a:folHlink>
        <a:srgbClr val="7030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6486fd5-fff8-4cbe-a2d1-89ce7ea547a7">
      <Value>83</Value>
      <Value>2257</Value>
      <Value>2380</Value>
      <Value>2030</Value>
      <Value>3</Value>
      <Value>221</Value>
    </TaxCatchAll>
    <g7bcb40ba23249a78edca7d43a67c1c9 xmlns="46486fd5-fff8-4cbe-a2d1-89ce7ea547a7">
      <Terms xmlns="http://schemas.microsoft.com/office/infopath/2007/PartnerControls">
        <TermInfo xmlns="http://schemas.microsoft.com/office/infopath/2007/PartnerControls">
          <TermName xmlns="http://schemas.microsoft.com/office/infopath/2007/PartnerControls">Policy Development</TermName>
          <TermId xmlns="http://schemas.microsoft.com/office/infopath/2007/PartnerControls">a935a4a9-2ceb-46c7-85bb-0ace72ac3f60</TermId>
        </TermInfo>
      </Terms>
    </g7bcb40ba23249a78edca7d43a67c1c9>
    <DocHub_MeetingDate xmlns="46486fd5-fff8-4cbe-a2d1-89ce7ea547a7">2019-10-22T13:00:00+00:00</DocHub_MeetingDate>
    <adb9bed2e36e4a93af574aeb444da63e xmlns="46486fd5-fff8-4cbe-a2d1-89ce7ea547a7">
      <Terms xmlns="http://schemas.microsoft.com/office/infopath/2007/PartnerControls">
        <TermInfo xmlns="http://schemas.microsoft.com/office/infopath/2007/PartnerControls">
          <TermName xmlns="http://schemas.microsoft.com/office/infopath/2007/PartnerControls">ANZLIC</TermName>
          <TermId xmlns="http://schemas.microsoft.com/office/infopath/2007/PartnerControls">0f27072a-fa92-4754-ab44-955cf41bcae3</TermId>
        </TermInfo>
        <TermInfo xmlns="http://schemas.microsoft.com/office/infopath/2007/PartnerControls">
          <TermName xmlns="http://schemas.microsoft.com/office/infopath/2007/PartnerControls">ANZLIC spatial</TermName>
          <TermId xmlns="http://schemas.microsoft.com/office/infopath/2007/PartnerControls">a8ee05cc-64c3-4896-aaf1-5bcda4d73702</TermId>
        </TermInfo>
      </Terms>
    </adb9bed2e36e4a93af574aeb444da63e>
    <pe2555c81638466f9eb614edb9ecde52 xmlns="46486fd5-fff8-4cbe-a2d1-89ce7ea547a7">
      <Terms xmlns="http://schemas.microsoft.com/office/infopath/2007/PartnerControls">
        <TermInfo xmlns="http://schemas.microsoft.com/office/infopath/2007/PartnerControls">
          <TermName xmlns="http://schemas.microsoft.com/office/infopath/2007/PartnerControls">Strategy</TermName>
          <TermId xmlns="http://schemas.microsoft.com/office/infopath/2007/PartnerControls">9f70923d-f2b0-4988-a431-241b252337ac</TermId>
        </TermInfo>
      </Terms>
    </pe2555c81638466f9eb614edb9ecde52>
    <n99e4c9942c6404eb103464a00e6097b xmlns="46486fd5-fff8-4cbe-a2d1-89ce7ea547a7">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aa25a1a23adf4c92a153145de6afe324 xmlns="46486fd5-fff8-4cbe-a2d1-89ce7ea547a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Comments xmlns="http://schemas.microsoft.com/sharepoint/v3" xsi:nil="true"/>
    <_dlc_DocId xmlns="46486fd5-fff8-4cbe-a2d1-89ce7ea547a7">EUCW2WRC2PUD-1583102289-329</_dlc_DocId>
    <_dlc_DocIdUrl xmlns="46486fd5-fff8-4cbe-a2d1-89ce7ea547a7">
      <Url>https://dochub/div/economicanalyticalservices/committeesandgroups/anzlic/_layouts/15/DocIdRedir.aspx?ID=EUCW2WRC2PUD-1583102289-329</Url>
      <Description>EUCW2WRC2PUD-1583102289-329</Description>
    </_dlc_DocIdUrl>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FB8368FC45EC54CBD720C3B737E948F" ma:contentTypeVersion="15" ma:contentTypeDescription="Create a new document." ma:contentTypeScope="" ma:versionID="ccf18604d295b01adce41b174c23ee9c">
  <xsd:schema xmlns:xsd="http://www.w3.org/2001/XMLSchema" xmlns:xs="http://www.w3.org/2001/XMLSchema" xmlns:p="http://schemas.microsoft.com/office/2006/metadata/properties" xmlns:ns1="http://schemas.microsoft.com/sharepoint/v3" xmlns:ns2="46486fd5-fff8-4cbe-a2d1-89ce7ea547a7" xmlns:ns3="e47d1c65-9f6c-49e5-a774-2c92ccb46d02" xmlns:ns4="http://schemas.microsoft.com/sharepoint/v4" targetNamespace="http://schemas.microsoft.com/office/2006/metadata/properties" ma:root="true" ma:fieldsID="801d7a94572033f290815aafc837f52f" ns1:_="" ns2:_="" ns3:_="" ns4:_="">
    <xsd:import namespace="http://schemas.microsoft.com/sharepoint/v3"/>
    <xsd:import namespace="46486fd5-fff8-4cbe-a2d1-89ce7ea547a7"/>
    <xsd:import namespace="e47d1c65-9f6c-49e5-a774-2c92ccb46d0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MeetingDate"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486fd5-fff8-4cbe-a2d1-89ce7ea547a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835f851f-72f6-498a-a802-dc52b0f6bebd}" ma:internalName="TaxCatchAll" ma:showField="CatchAllData" ma:web="e47d1c65-9f6c-49e5-a774-2c92ccb46d02">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3990c95c-aaef-4b88-979c-1afb69c61976"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MeetingDate" ma:index="23" nillable="true" ma:displayName="Meeting Date" ma:description="Date of the meeting (DD/MM/YYYY)" ma:format="DateOnly" ma:indexed="true" ma:internalName="DocHub_Meeting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47d1c65-9f6c-49e5-a774-2c92ccb46d02"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170B9-A43F-4F70-9BA1-4FD4CAD7C9A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http://schemas.microsoft.com/sharepoint/v3"/>
    <ds:schemaRef ds:uri="e47d1c65-9f6c-49e5-a774-2c92ccb46d02"/>
    <ds:schemaRef ds:uri="46486fd5-fff8-4cbe-a2d1-89ce7ea547a7"/>
    <ds:schemaRef ds:uri="http://www.w3.org/XML/1998/namespace"/>
    <ds:schemaRef ds:uri="http://purl.org/dc/dcmitype/"/>
  </ds:schemaRefs>
</ds:datastoreItem>
</file>

<file path=customXml/itemProps2.xml><?xml version="1.0" encoding="utf-8"?>
<ds:datastoreItem xmlns:ds="http://schemas.openxmlformats.org/officeDocument/2006/customXml" ds:itemID="{1D2A2DB6-13B4-4C44-AFE4-0D48D488AF77}">
  <ds:schemaRefs>
    <ds:schemaRef ds:uri="http://schemas.microsoft.com/sharepoint/v3/contenttype/forms"/>
  </ds:schemaRefs>
</ds:datastoreItem>
</file>

<file path=customXml/itemProps3.xml><?xml version="1.0" encoding="utf-8"?>
<ds:datastoreItem xmlns:ds="http://schemas.openxmlformats.org/officeDocument/2006/customXml" ds:itemID="{79D9BA86-E09E-4694-9FAD-9137B11395FE}">
  <ds:schemaRefs>
    <ds:schemaRef ds:uri="http://schemas.microsoft.com/sharepoint/events"/>
  </ds:schemaRefs>
</ds:datastoreItem>
</file>

<file path=customXml/itemProps4.xml><?xml version="1.0" encoding="utf-8"?>
<ds:datastoreItem xmlns:ds="http://schemas.openxmlformats.org/officeDocument/2006/customXml" ds:itemID="{47A529D1-7ED9-4DD1-A71E-EBBEA5435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486fd5-fff8-4cbe-a2d1-89ce7ea547a7"/>
    <ds:schemaRef ds:uri="e47d1c65-9f6c-49e5-a774-2c92ccb46d0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C61E5C-BF66-4E90-8C96-F1C1C1973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
  <TotalTime>0</TotalTime>
  <Pages>13</Pages>
  <Words>3133</Words>
  <Characters>17860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Document title</vt:lpstr>
    </vt:vector>
  </TitlesOfParts>
  <Company>Department of Industry, Innovation and Science</Company>
  <LinksUpToDate>false</LinksUpToDate>
  <CharactersWithSpaces>20952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Walters, Keiran</dc:creator>
  <cp:keywords/>
  <dc:description/>
  <cp:lastModifiedBy>Trainham, Dee</cp:lastModifiedBy>
  <cp:revision>2</cp:revision>
  <cp:lastPrinted>2019-12-13T01:55:00Z</cp:lastPrinted>
  <dcterms:created xsi:type="dcterms:W3CDTF">2020-03-10T23:15:00Z</dcterms:created>
  <dcterms:modified xsi:type="dcterms:W3CDTF">2020-03-10T23:15:00Z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0x0101002FB8368FC45EC54CBD720C3B737E948F</vt:lpwstr>
  </property>
  <property fmtid="{D5CDD505-2E9C-101B-9397-08002B2CF9AE}" pid="3" name="_dlc_DocIdItemGuid">
    <vt:lpwstr>622ff905-12d9-4de2-94de-5093d24393dc</vt:lpwstr>
  </property>
  <property fmtid="{D5CDD505-2E9C-101B-9397-08002B2CF9AE}" pid="4" name="DocHub_Year">
    <vt:lpwstr>2380;#2019|7e451fe0-4dc6-437a-a849-bab7965a9aee</vt:lpwstr>
  </property>
  <property fmtid="{D5CDD505-2E9C-101B-9397-08002B2CF9AE}" pid="5" name="DocHub_DocumentType">
    <vt:lpwstr>83;#Strategy|9f70923d-f2b0-4988-a431-241b252337ac</vt:lpwstr>
  </property>
  <property fmtid="{D5CDD505-2E9C-101B-9397-08002B2CF9AE}" pid="6" name="DocHub_SecurityClassification">
    <vt:lpwstr>3;#UNCLASSIFIED|6106d03b-a1a0-4e30-9d91-d5e9fb4314f9</vt:lpwstr>
  </property>
  <property fmtid="{D5CDD505-2E9C-101B-9397-08002B2CF9AE}" pid="7" name="DocHub_Keywords">
    <vt:lpwstr>2030;#ANZLIC|0f27072a-fa92-4754-ab44-955cf41bcae3;#2257;#ANZLIC spatial|a8ee05cc-64c3-4896-aaf1-5bcda4d73702</vt:lpwstr>
  </property>
  <property fmtid="{D5CDD505-2E9C-101B-9397-08002B2CF9AE}" pid="8" name="DocHub_WorkActivity">
    <vt:lpwstr>221;#Policy Development|a935a4a9-2ceb-46c7-85bb-0ace72ac3f60</vt:lpwstr>
  </property>
  <property fmtid="{D5CDD505-2E9C-101B-9397-08002B2CF9AE}" pid="9" name="_CopySource">
    <vt:lpwstr/>
  </property>
</Properties>
</file>